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both"/>
        <w:rPr/>
      </w:pPr>
      <w:bookmarkStart w:colFirst="0" w:colLast="0" w:name="_yfusq0po5ryh" w:id="0"/>
      <w:bookmarkEnd w:id="0"/>
      <w:r w:rsidDel="00000000" w:rsidR="00000000" w:rsidRPr="00000000">
        <w:rPr>
          <w:rtl w:val="0"/>
        </w:rPr>
        <w:t xml:space="preserve">Fazer um sanduíche de manteiga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Itens: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1° Passo: Se tiver fome, pensar em fazer um sanduíche. Senão, volta às atividades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2° Passo: Caminhar até a cozinha e ir até o armário.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3° Passo: Checar se há os seguintes ingredientes necessários para a tarefa: Pão (já fora da embalagem), Pote de Manteiga, Pote de Geleia, um Prato e uma Faca.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4° Passo: Pegar os ingredientes supracitados e levá-los até um local suspenso.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5° Passo: Iniciar o manuseio do Pão até o Prato, dispondo-os de maneira propícia à execução da tarefa.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6° Passo: Abrir o Pote de Manteiga.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7° Passo: Abrir o Pote de Geleia.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8° Passo: Pegar Faca e levá-la até o Pote de Manteiga.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9° Passo: Passar a Faca na Manteiga.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10° Passo: Passar a Faca com Manteiga em uma das fatias de Pão.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11° Passo: Passar a Faca na Geleia.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12° Passo: Passar a Faca com Geleia na fatia de Pão livre.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13° Passo: Juntar as fatias de Pão.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14° Passo: Pegar o Prato e levá-lo até a Mesa.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15° Passo: Comer.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16° Passo: Se o usuário sentir necessidade de limpar tudo, iniciar a operação Lavagem. Senão, fazer outro sanduíche e repetir a partir do 5° Passo.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17° Passo: Levar Prato e Faca, se estiverem sujos, até a Pia.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18° Passo: Lavar Prato e Faca.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19° Passo: Pegar todos os ingredientes e levá-los até o armário.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20° Passo: Guardá-los.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