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A10E3" w14:textId="77777777" w:rsidR="00CF2679" w:rsidRDefault="00FF569D" w:rsidP="00C86D03">
      <w:pPr>
        <w:rPr>
          <w:lang w:val="en-GB"/>
        </w:rPr>
      </w:pPr>
      <w:bookmarkStart w:id="0" w:name="abstract"/>
      <w:bookmarkEnd w:id="0"/>
      <w:r w:rsidRPr="00C86D03">
        <w:rPr>
          <w:b/>
          <w:lang w:val="en-GB"/>
        </w:rPr>
        <w:t>T</w:t>
      </w:r>
      <w:r w:rsidR="00C86D03" w:rsidRPr="00C86D03">
        <w:rPr>
          <w:b/>
          <w:lang w:val="en-GB"/>
        </w:rPr>
        <w:t>ype of Paper:</w:t>
      </w:r>
      <w:r w:rsidR="00C86D03">
        <w:rPr>
          <w:lang w:val="en-GB"/>
        </w:rPr>
        <w:t xml:space="preserve"> </w:t>
      </w:r>
    </w:p>
    <w:p w14:paraId="2E111D1D" w14:textId="4516B779" w:rsidR="00C86D03" w:rsidRDefault="00C86D03">
      <w:pPr>
        <w:rPr>
          <w:lang w:val="en-GB"/>
        </w:rPr>
      </w:pPr>
      <w:r w:rsidRPr="00C86D03">
        <w:rPr>
          <w:lang w:val="en-GB"/>
        </w:rPr>
        <w:t>Original Article</w:t>
      </w:r>
      <w:r w:rsidR="006A2DB0">
        <w:rPr>
          <w:lang w:val="en-GB"/>
        </w:rPr>
        <w:t xml:space="preserve"> (Appendix)</w:t>
      </w:r>
    </w:p>
    <w:p w14:paraId="76BD5A10" w14:textId="77777777" w:rsidR="00CF2679" w:rsidRDefault="00CF2679">
      <w:pPr>
        <w:rPr>
          <w:lang w:val="en-GB"/>
        </w:rPr>
      </w:pPr>
    </w:p>
    <w:p w14:paraId="593510AC" w14:textId="77777777" w:rsidR="00CF2679" w:rsidRDefault="00C86D03" w:rsidP="00C86D03">
      <w:pPr>
        <w:rPr>
          <w:b/>
          <w:lang w:val="en-GB"/>
        </w:rPr>
      </w:pPr>
      <w:r>
        <w:rPr>
          <w:b/>
          <w:lang w:val="en-GB"/>
        </w:rPr>
        <w:t xml:space="preserve">Title: </w:t>
      </w:r>
    </w:p>
    <w:p w14:paraId="66B05503" w14:textId="1DB85EBA" w:rsidR="00C86D03" w:rsidRPr="00C86D03" w:rsidRDefault="006A2DB0" w:rsidP="00C86D03">
      <w:pPr>
        <w:rPr>
          <w:lang w:val="en-GB"/>
        </w:rPr>
      </w:pPr>
      <w:r>
        <w:rPr>
          <w:bCs/>
          <w:lang w:val="en-GB"/>
        </w:rPr>
        <w:t xml:space="preserve">Appendix to: </w:t>
      </w:r>
      <w:r w:rsidR="00C86D03" w:rsidRPr="00C86D03">
        <w:rPr>
          <w:bCs/>
          <w:lang w:val="en-GB"/>
        </w:rPr>
        <w:t xml:space="preserve">A Study of Web Page </w:t>
      </w:r>
      <w:proofErr w:type="spellStart"/>
      <w:r w:rsidR="00C86D03" w:rsidRPr="00C86D03">
        <w:rPr>
          <w:bCs/>
          <w:lang w:val="en-GB"/>
        </w:rPr>
        <w:t>Understandability</w:t>
      </w:r>
      <w:proofErr w:type="spellEnd"/>
      <w:r w:rsidR="00C86D03" w:rsidRPr="00C86D03">
        <w:rPr>
          <w:bCs/>
          <w:lang w:val="en-GB"/>
        </w:rPr>
        <w:t xml:space="preserve"> for Consumer Health Search </w:t>
      </w:r>
    </w:p>
    <w:p w14:paraId="3C71CC65" w14:textId="7D435BF8" w:rsidR="003A1A7C" w:rsidRPr="00C86D03" w:rsidRDefault="003A1A7C">
      <w:pPr>
        <w:rPr>
          <w:lang w:val="en-GB"/>
        </w:rPr>
      </w:pPr>
    </w:p>
    <w:p w14:paraId="283A323D" w14:textId="27B3B942" w:rsidR="003A1A7C" w:rsidRPr="00C86D03" w:rsidRDefault="00FF569D">
      <w:pPr>
        <w:rPr>
          <w:b/>
          <w:lang w:val="en-GB"/>
        </w:rPr>
      </w:pPr>
      <w:r w:rsidRPr="00C86D03">
        <w:rPr>
          <w:b/>
          <w:lang w:val="en-GB"/>
        </w:rPr>
        <w:t>Authors</w:t>
      </w:r>
      <w:r w:rsidR="00C86D03">
        <w:rPr>
          <w:b/>
          <w:lang w:val="en-GB"/>
        </w:rPr>
        <w:t>:</w:t>
      </w:r>
      <w:r w:rsidRPr="00C86D03">
        <w:rPr>
          <w:b/>
          <w:lang w:val="en-GB"/>
        </w:rPr>
        <w:t xml:space="preserve"> </w:t>
      </w:r>
    </w:p>
    <w:p w14:paraId="2F806C01" w14:textId="18E2B53B" w:rsidR="00C86D03" w:rsidRPr="00C86D03" w:rsidRDefault="00C86D03" w:rsidP="00C86D03">
      <w:pPr>
        <w:rPr>
          <w:lang w:val="en-GB"/>
        </w:rPr>
      </w:pPr>
      <w:r w:rsidRPr="00C86D03">
        <w:rPr>
          <w:lang w:val="en-GB"/>
        </w:rPr>
        <w:t>Joao Palotti</w:t>
      </w:r>
      <w:r w:rsidRPr="00C86D03">
        <w:rPr>
          <w:vertAlign w:val="superscript"/>
          <w:lang w:val="en-GB"/>
        </w:rPr>
        <w:t>1,3</w:t>
      </w:r>
      <w:r w:rsidRPr="00C86D03">
        <w:rPr>
          <w:lang w:val="en-GB"/>
        </w:rPr>
        <w:t>, MSc; Guido Zuccon</w:t>
      </w:r>
      <w:r w:rsidRPr="00C86D03">
        <w:rPr>
          <w:vertAlign w:val="superscript"/>
          <w:lang w:val="en-GB"/>
        </w:rPr>
        <w:t>2</w:t>
      </w:r>
      <w:r w:rsidRPr="00C86D03">
        <w:rPr>
          <w:lang w:val="en-GB"/>
        </w:rPr>
        <w:t>, PhD; Allan Hanbury</w:t>
      </w:r>
      <w:r w:rsidRPr="00C86D03">
        <w:rPr>
          <w:vertAlign w:val="superscript"/>
          <w:lang w:val="en-GB"/>
        </w:rPr>
        <w:t>3</w:t>
      </w:r>
      <w:r w:rsidR="000A6BB8">
        <w:rPr>
          <w:vertAlign w:val="superscript"/>
          <w:lang w:val="en-GB"/>
        </w:rPr>
        <w:t>,4</w:t>
      </w:r>
      <w:r w:rsidRPr="00C86D03">
        <w:rPr>
          <w:lang w:val="en-GB"/>
        </w:rPr>
        <w:t xml:space="preserve">, PhD </w:t>
      </w:r>
    </w:p>
    <w:p w14:paraId="34D6D61E" w14:textId="4B2A4406" w:rsidR="00C86D03" w:rsidRDefault="00FF569D">
      <w:pPr>
        <w:rPr>
          <w:lang w:val="en-GB"/>
        </w:rPr>
      </w:pPr>
      <w:r w:rsidRPr="00FF569D">
        <w:rPr>
          <w:lang w:val="en-GB"/>
        </w:rPr>
        <w:t xml:space="preserve"> </w:t>
      </w:r>
    </w:p>
    <w:p w14:paraId="66AFE66C" w14:textId="607BA4C8" w:rsidR="00C86D03" w:rsidRPr="00C86D03" w:rsidRDefault="00FF569D">
      <w:pPr>
        <w:rPr>
          <w:b/>
          <w:lang w:val="en-GB"/>
        </w:rPr>
      </w:pPr>
      <w:r w:rsidRPr="00C86D03">
        <w:rPr>
          <w:b/>
          <w:lang w:val="en-GB"/>
        </w:rPr>
        <w:t>Affiliations</w:t>
      </w:r>
      <w:r w:rsidR="00C86D03">
        <w:rPr>
          <w:b/>
          <w:lang w:val="en-GB"/>
        </w:rPr>
        <w:t>:</w:t>
      </w:r>
      <w:r w:rsidRPr="00C86D03">
        <w:rPr>
          <w:b/>
          <w:lang w:val="en-GB"/>
        </w:rPr>
        <w:t xml:space="preserve"> </w:t>
      </w:r>
    </w:p>
    <w:p w14:paraId="026D6D05" w14:textId="6DF065B8" w:rsidR="00C86D03" w:rsidRDefault="00FF569D">
      <w:pPr>
        <w:rPr>
          <w:lang w:val="en-GB"/>
        </w:rPr>
      </w:pPr>
      <w:r w:rsidRPr="00C86D03">
        <w:rPr>
          <w:vertAlign w:val="superscript"/>
          <w:lang w:val="en-GB"/>
        </w:rPr>
        <w:t>1</w:t>
      </w:r>
      <w:r w:rsidRPr="00FF569D">
        <w:rPr>
          <w:lang w:val="en-GB"/>
        </w:rPr>
        <w:t xml:space="preserve"> </w:t>
      </w:r>
      <w:r w:rsidR="00C86D03" w:rsidRPr="00C86D03">
        <w:rPr>
          <w:lang w:val="en-GB"/>
        </w:rPr>
        <w:t xml:space="preserve">Qatar Computing Research Institute, Doha, Qatar </w:t>
      </w:r>
      <w:r w:rsidRPr="00FF569D">
        <w:rPr>
          <w:lang w:val="en-GB"/>
        </w:rPr>
        <w:t xml:space="preserve"> </w:t>
      </w:r>
    </w:p>
    <w:p w14:paraId="7014C613" w14:textId="1DEDE2BB" w:rsidR="00C86D03" w:rsidRDefault="00FF569D">
      <w:pPr>
        <w:rPr>
          <w:lang w:val="en-GB"/>
        </w:rPr>
      </w:pPr>
      <w:r w:rsidRPr="00C86D03">
        <w:rPr>
          <w:vertAlign w:val="superscript"/>
          <w:lang w:val="en-GB"/>
        </w:rPr>
        <w:t>2</w:t>
      </w:r>
      <w:r w:rsidRPr="00FF569D">
        <w:rPr>
          <w:lang w:val="en-GB"/>
        </w:rPr>
        <w:t xml:space="preserve"> </w:t>
      </w:r>
      <w:r w:rsidR="00C86D03" w:rsidRPr="00C86D03">
        <w:rPr>
          <w:lang w:val="en-GB"/>
        </w:rPr>
        <w:t xml:space="preserve">Queensland University of Technology, Brisbane, Australia </w:t>
      </w:r>
      <w:r w:rsidRPr="00FF569D">
        <w:rPr>
          <w:lang w:val="en-GB"/>
        </w:rPr>
        <w:t xml:space="preserve"> </w:t>
      </w:r>
    </w:p>
    <w:p w14:paraId="10259C01" w14:textId="1418C2BB" w:rsidR="003A1A7C" w:rsidRDefault="00C86D03">
      <w:pPr>
        <w:rPr>
          <w:lang w:val="en-GB"/>
        </w:rPr>
      </w:pPr>
      <w:r w:rsidRPr="00C86D03">
        <w:rPr>
          <w:vertAlign w:val="superscript"/>
          <w:lang w:val="en-GB"/>
        </w:rPr>
        <w:t>3</w:t>
      </w:r>
      <w:r w:rsidR="00FF569D" w:rsidRPr="00FF569D">
        <w:rPr>
          <w:lang w:val="en-GB"/>
        </w:rPr>
        <w:t xml:space="preserve"> </w:t>
      </w:r>
      <w:r w:rsidRPr="00C86D03">
        <w:rPr>
          <w:lang w:val="en-GB"/>
        </w:rPr>
        <w:t xml:space="preserve">Vienna University of Technology, Vienna, Austria </w:t>
      </w:r>
      <w:r w:rsidR="00FF569D" w:rsidRPr="00FF569D">
        <w:rPr>
          <w:lang w:val="en-GB"/>
        </w:rPr>
        <w:t xml:space="preserve"> </w:t>
      </w:r>
    </w:p>
    <w:p w14:paraId="4C4F56B3" w14:textId="37310830" w:rsidR="000A6BB8" w:rsidRDefault="000A6BB8">
      <w:pPr>
        <w:rPr>
          <w:lang w:val="en-GB"/>
        </w:rPr>
      </w:pPr>
      <w:bookmarkStart w:id="1" w:name="_GoBack"/>
      <w:r>
        <w:rPr>
          <w:vertAlign w:val="superscript"/>
          <w:lang w:val="en-GB"/>
        </w:rPr>
        <w:t>4</w:t>
      </w:r>
      <w:r w:rsidRPr="00FF569D">
        <w:rPr>
          <w:lang w:val="en-GB"/>
        </w:rPr>
        <w:t xml:space="preserve"> </w:t>
      </w:r>
      <w:r w:rsidRPr="000A6BB8">
        <w:rPr>
          <w:lang w:val="en-GB"/>
        </w:rPr>
        <w:t xml:space="preserve">Complexity Science Hub Vienna, </w:t>
      </w:r>
      <w:r>
        <w:rPr>
          <w:lang w:val="en-GB"/>
        </w:rPr>
        <w:t xml:space="preserve">Vienna, </w:t>
      </w:r>
      <w:r w:rsidRPr="000A6BB8">
        <w:rPr>
          <w:lang w:val="en-GB"/>
        </w:rPr>
        <w:t>Austria</w:t>
      </w:r>
    </w:p>
    <w:bookmarkEnd w:id="1"/>
    <w:p w14:paraId="73BB0712" w14:textId="77777777" w:rsidR="009A0B0F" w:rsidRDefault="009A0B0F">
      <w:pPr>
        <w:rPr>
          <w:b/>
          <w:lang w:val="en-GB"/>
        </w:rPr>
      </w:pPr>
    </w:p>
    <w:p w14:paraId="332982FE" w14:textId="77777777" w:rsidR="00C86D03" w:rsidRPr="009A0B0F" w:rsidRDefault="00FF569D">
      <w:pPr>
        <w:rPr>
          <w:b/>
          <w:lang w:val="en-GB"/>
        </w:rPr>
      </w:pPr>
      <w:r w:rsidRPr="009A0B0F">
        <w:rPr>
          <w:b/>
          <w:lang w:val="en-GB"/>
        </w:rPr>
        <w:t xml:space="preserve">Corresponding Author: </w:t>
      </w:r>
    </w:p>
    <w:p w14:paraId="0CC59243" w14:textId="024DE749" w:rsidR="007978F5" w:rsidRPr="007978F5" w:rsidRDefault="00C86D03" w:rsidP="007978F5">
      <w:r w:rsidRPr="00C86D03">
        <w:rPr>
          <w:lang w:val="en-GB"/>
        </w:rPr>
        <w:t xml:space="preserve">Allan </w:t>
      </w:r>
      <w:proofErr w:type="spellStart"/>
      <w:r w:rsidRPr="00C86D03">
        <w:rPr>
          <w:lang w:val="en-GB"/>
        </w:rPr>
        <w:t>Hanbury</w:t>
      </w:r>
      <w:proofErr w:type="spellEnd"/>
      <w:r w:rsidR="00FF569D" w:rsidRPr="00FF569D">
        <w:rPr>
          <w:lang w:val="en-GB"/>
        </w:rPr>
        <w:t xml:space="preserve">, Ph.D. </w:t>
      </w:r>
      <w:r>
        <w:rPr>
          <w:lang w:val="en-GB"/>
        </w:rPr>
        <w:br/>
      </w:r>
      <w:r w:rsidR="007978F5" w:rsidRPr="007978F5">
        <w:t>TU Wien (V</w:t>
      </w:r>
      <w:r w:rsidR="007978F5">
        <w:t xml:space="preserve">ienna University of Technology), </w:t>
      </w:r>
      <w:proofErr w:type="spellStart"/>
      <w:r w:rsidR="007978F5" w:rsidRPr="007978F5">
        <w:rPr>
          <w:lang w:val="en-GB"/>
        </w:rPr>
        <w:t>Favoritenstrasse</w:t>
      </w:r>
      <w:proofErr w:type="spellEnd"/>
      <w:r w:rsidR="007978F5" w:rsidRPr="007978F5">
        <w:rPr>
          <w:lang w:val="en-GB"/>
        </w:rPr>
        <w:t xml:space="preserve"> 9-11/188</w:t>
      </w:r>
      <w:r w:rsidR="007978F5">
        <w:t xml:space="preserve">, </w:t>
      </w:r>
      <w:r w:rsidR="007978F5" w:rsidRPr="007978F5">
        <w:rPr>
          <w:lang w:val="en-GB"/>
        </w:rPr>
        <w:t>1040 Vienna, Austria</w:t>
      </w:r>
      <w:r w:rsidR="007978F5">
        <w:t xml:space="preserve">. Phone: </w:t>
      </w:r>
      <w:r w:rsidR="007978F5" w:rsidRPr="007978F5">
        <w:rPr>
          <w:lang w:val="en-GB"/>
        </w:rPr>
        <w:t>+43 1 58801 188310</w:t>
      </w:r>
      <w:r w:rsidR="00DE3E2A">
        <w:rPr>
          <w:lang w:val="en-GB"/>
        </w:rPr>
        <w:t>. Email: allan.hanbury@tuwien.ac.at</w:t>
      </w:r>
    </w:p>
    <w:p w14:paraId="65182D10" w14:textId="1288C5F2" w:rsidR="00FF569D" w:rsidRPr="00FF569D" w:rsidRDefault="007978F5" w:rsidP="007978F5">
      <w:pPr>
        <w:rPr>
          <w:lang w:val="en-GB"/>
        </w:rPr>
      </w:pPr>
      <w:r w:rsidRPr="007978F5">
        <w:t xml:space="preserve"> </w:t>
      </w:r>
      <w:r w:rsidR="00FF569D">
        <w:br w:type="page"/>
      </w:r>
    </w:p>
    <w:p w14:paraId="2952E60E" w14:textId="46EA1870" w:rsidR="00A774D7" w:rsidRDefault="006A2DB0">
      <w:pPr>
        <w:pStyle w:val="Heading1"/>
      </w:pPr>
      <w:r>
        <w:lastRenderedPageBreak/>
        <w:t>Appendix</w:t>
      </w:r>
    </w:p>
    <w:p w14:paraId="65ACD815"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drawing>
          <wp:inline distT="0" distB="0" distL="0" distR="0" wp14:anchorId="07E749E7" wp14:editId="4F0AC8C2">
            <wp:extent cx="5181600" cy="324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1600" cy="3241675"/>
                    </a:xfrm>
                    <a:prstGeom prst="rect">
                      <a:avLst/>
                    </a:prstGeom>
                    <a:noFill/>
                    <a:ln>
                      <a:noFill/>
                    </a:ln>
                  </pic:spPr>
                </pic:pic>
              </a:graphicData>
            </a:graphic>
          </wp:inline>
        </w:drawing>
      </w:r>
    </w:p>
    <w:p w14:paraId="32EA9969" w14:textId="26FDFA9B" w:rsidR="006A2DB0" w:rsidRPr="006A2DB0" w:rsidRDefault="006A2DB0" w:rsidP="006A2DB0">
      <w:pPr>
        <w:widowControl w:val="0"/>
        <w:autoSpaceDE w:val="0"/>
        <w:autoSpaceDN w:val="0"/>
        <w:adjustRightInd w:val="0"/>
        <w:spacing w:after="240" w:line="300" w:lineRule="atLeast"/>
        <w:rPr>
          <w:rFonts w:ascii="Cambria" w:hAnsi="Cambria" w:cs="Times"/>
          <w:i/>
          <w:noProof/>
          <w:color w:val="000000"/>
          <w:lang w:eastAsia="en-GB"/>
        </w:rPr>
      </w:pPr>
      <w:r w:rsidRPr="006A2DB0">
        <w:rPr>
          <w:rFonts w:ascii="Cambria" w:hAnsi="Cambria" w:cs="Times"/>
          <w:b/>
          <w:i/>
          <w:color w:val="000000"/>
        </w:rPr>
        <w:t>Figure 1.</w:t>
      </w:r>
      <w:r w:rsidRPr="006A2DB0">
        <w:rPr>
          <w:rFonts w:ascii="Cambria" w:hAnsi="Cambria" w:cs="Times"/>
          <w:i/>
          <w:color w:val="000000"/>
        </w:rPr>
        <w:t xml:space="preserve"> Understandability label distribution for CLEF eHealth 2016</w:t>
      </w:r>
      <w:r w:rsidRPr="006A2DB0">
        <w:rPr>
          <w:rFonts w:ascii="Cambria" w:hAnsi="Cambria" w:cs="Times"/>
          <w:i/>
          <w:noProof/>
          <w:color w:val="000000"/>
          <w:lang w:eastAsia="en-GB"/>
        </w:rPr>
        <w:t xml:space="preserve">. </w:t>
      </w:r>
    </w:p>
    <w:p w14:paraId="6D0C2DAE"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drawing>
          <wp:inline distT="0" distB="0" distL="0" distR="0" wp14:anchorId="6BC489E6" wp14:editId="6DEB2B12">
            <wp:extent cx="51816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1600" cy="2438400"/>
                    </a:xfrm>
                    <a:prstGeom prst="rect">
                      <a:avLst/>
                    </a:prstGeom>
                    <a:noFill/>
                    <a:ln>
                      <a:noFill/>
                    </a:ln>
                  </pic:spPr>
                </pic:pic>
              </a:graphicData>
            </a:graphic>
          </wp:inline>
        </w:drawing>
      </w:r>
    </w:p>
    <w:p w14:paraId="07415291" w14:textId="7883D8E2" w:rsidR="006A2DB0" w:rsidRPr="006A2DB0" w:rsidRDefault="006A2DB0" w:rsidP="006A2DB0">
      <w:pPr>
        <w:widowControl w:val="0"/>
        <w:autoSpaceDE w:val="0"/>
        <w:autoSpaceDN w:val="0"/>
        <w:adjustRightInd w:val="0"/>
        <w:spacing w:after="240" w:line="300" w:lineRule="atLeast"/>
        <w:rPr>
          <w:rFonts w:ascii="Cambria" w:hAnsi="Cambria" w:cs="Times"/>
          <w:i/>
          <w:color w:val="000000"/>
        </w:rPr>
      </w:pPr>
      <w:r w:rsidRPr="006A2DB0">
        <w:rPr>
          <w:rFonts w:ascii="Cambria" w:hAnsi="Cambria" w:cs="Times"/>
          <w:b/>
          <w:i/>
          <w:color w:val="000000"/>
          <w:sz w:val="26"/>
          <w:szCs w:val="26"/>
        </w:rPr>
        <w:t>Figure 2.</w:t>
      </w:r>
      <w:r w:rsidRPr="006A2DB0">
        <w:rPr>
          <w:rFonts w:ascii="Cambria" w:hAnsi="Cambria" w:cs="Times"/>
          <w:i/>
          <w:color w:val="000000"/>
          <w:sz w:val="26"/>
          <w:szCs w:val="26"/>
        </w:rPr>
        <w:t xml:space="preserve"> Understandability distribution broken per topic for CLEF eHealth 2016</w:t>
      </w:r>
      <w:r>
        <w:rPr>
          <w:rFonts w:ascii="Cambria" w:hAnsi="Cambria" w:cs="Times"/>
          <w:i/>
          <w:color w:val="000000"/>
          <w:sz w:val="26"/>
          <w:szCs w:val="26"/>
        </w:rPr>
        <w:t>.</w:t>
      </w:r>
      <w:r w:rsidRPr="006A2DB0">
        <w:rPr>
          <w:rFonts w:ascii="Cambria" w:hAnsi="Cambria" w:cs="Times"/>
          <w:i/>
          <w:color w:val="000000"/>
          <w:sz w:val="26"/>
          <w:szCs w:val="26"/>
        </w:rPr>
        <w:t xml:space="preserve"> </w:t>
      </w:r>
    </w:p>
    <w:p w14:paraId="70093CF2"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2D73F990"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71E04EBE" wp14:editId="4539BCF1">
            <wp:extent cx="3888740" cy="1662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5312555F" wp14:editId="016205F7">
            <wp:extent cx="3888740" cy="1662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288B9026" wp14:editId="0D25DD39">
            <wp:extent cx="3888740" cy="1662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00A48367" wp14:editId="4251BE47">
            <wp:extent cx="3888740" cy="831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8740" cy="831215"/>
                    </a:xfrm>
                    <a:prstGeom prst="rect">
                      <a:avLst/>
                    </a:prstGeom>
                    <a:noFill/>
                    <a:ln>
                      <a:noFill/>
                    </a:ln>
                  </pic:spPr>
                </pic:pic>
              </a:graphicData>
            </a:graphic>
          </wp:inline>
        </w:drawing>
      </w:r>
    </w:p>
    <w:p w14:paraId="5539E7A5"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3.</w:t>
      </w:r>
      <w:r w:rsidRPr="00941CDE">
        <w:rPr>
          <w:rFonts w:ascii="Cambria" w:hAnsi="Cambria" w:cs="Times"/>
          <w:i/>
          <w:color w:val="000000"/>
          <w:sz w:val="26"/>
          <w:szCs w:val="26"/>
        </w:rPr>
        <w:t xml:space="preserve"> In </w:t>
      </w:r>
      <w:proofErr w:type="spellStart"/>
      <w:r w:rsidRPr="00941CDE">
        <w:rPr>
          <w:rFonts w:ascii="Cambria" w:hAnsi="Cambria" w:cs="Times"/>
          <w:i/>
          <w:color w:val="000000"/>
          <w:sz w:val="26"/>
          <w:szCs w:val="26"/>
        </w:rPr>
        <w:t>Palotti</w:t>
      </w:r>
      <w:proofErr w:type="spellEnd"/>
      <w:r w:rsidRPr="00941CDE">
        <w:rPr>
          <w:rFonts w:ascii="Cambria" w:hAnsi="Cambria" w:cs="Times"/>
          <w:i/>
          <w:color w:val="000000"/>
          <w:sz w:val="26"/>
          <w:szCs w:val="26"/>
        </w:rPr>
        <w:t xml:space="preserve"> et al. [1], authors </w:t>
      </w:r>
      <w:proofErr w:type="gramStart"/>
      <w:r w:rsidRPr="00941CDE">
        <w:rPr>
          <w:rFonts w:ascii="Cambria" w:hAnsi="Cambria" w:cs="Times"/>
          <w:i/>
          <w:color w:val="000000"/>
          <w:sz w:val="26"/>
          <w:szCs w:val="26"/>
        </w:rPr>
        <w:t>investigates</w:t>
      </w:r>
      <w:proofErr w:type="gramEnd"/>
      <w:r w:rsidRPr="00941CDE">
        <w:rPr>
          <w:rFonts w:ascii="Cambria" w:hAnsi="Cambria" w:cs="Times"/>
          <w:i/>
          <w:color w:val="000000"/>
          <w:sz w:val="26"/>
          <w:szCs w:val="26"/>
        </w:rPr>
        <w:t xml:space="preserve"> the influence of HTML preprocessing when readability formulas are used to estimate Webpage understandability. They found that readability formulas are heavily affected by the methods used to extract text from the HTML source, but they did not measure how correlated each method was with a human ground truth. We further extended </w:t>
      </w:r>
      <w:proofErr w:type="spellStart"/>
      <w:r w:rsidRPr="00941CDE">
        <w:rPr>
          <w:rFonts w:ascii="Cambria" w:hAnsi="Cambria" w:cs="Times"/>
          <w:i/>
          <w:color w:val="000000"/>
          <w:sz w:val="26"/>
          <w:szCs w:val="26"/>
        </w:rPr>
        <w:t>Palotti</w:t>
      </w:r>
      <w:proofErr w:type="spellEnd"/>
      <w:r w:rsidRPr="00941CDE">
        <w:rPr>
          <w:rFonts w:ascii="Cambria" w:hAnsi="Cambria" w:cs="Times"/>
          <w:i/>
          <w:color w:val="000000"/>
          <w:sz w:val="26"/>
          <w:szCs w:val="26"/>
        </w:rPr>
        <w:t xml:space="preserve"> et al.’s work to understand the influence of HTML preprocessing on automatic understandability methods and establish best practices. We show the correlation of each preprocessing combination with the ground truth assessments for CLEF 2015. </w:t>
      </w:r>
    </w:p>
    <w:p w14:paraId="29789915"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129582F0"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54FD804C" wp14:editId="1C2FD0C8">
            <wp:extent cx="3888740" cy="1662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71695515" wp14:editId="70F1EAF5">
            <wp:extent cx="3888740" cy="1662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0BCF9B3D" wp14:editId="36832BBB">
            <wp:extent cx="3888740" cy="1662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61318417" wp14:editId="43A55A6B">
            <wp:extent cx="3888740" cy="83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8740" cy="831215"/>
                    </a:xfrm>
                    <a:prstGeom prst="rect">
                      <a:avLst/>
                    </a:prstGeom>
                    <a:noFill/>
                    <a:ln>
                      <a:noFill/>
                    </a:ln>
                  </pic:spPr>
                </pic:pic>
              </a:graphicData>
            </a:graphic>
          </wp:inline>
        </w:drawing>
      </w:r>
    </w:p>
    <w:p w14:paraId="0CCCEF88"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4.</w:t>
      </w:r>
      <w:r w:rsidRPr="00941CDE">
        <w:rPr>
          <w:rFonts w:ascii="Cambria" w:hAnsi="Cambria" w:cs="Times"/>
          <w:i/>
          <w:color w:val="000000"/>
          <w:sz w:val="26"/>
          <w:szCs w:val="26"/>
        </w:rPr>
        <w:t xml:space="preserve"> In </w:t>
      </w:r>
      <w:proofErr w:type="spellStart"/>
      <w:r w:rsidRPr="00941CDE">
        <w:rPr>
          <w:rFonts w:ascii="Cambria" w:hAnsi="Cambria" w:cs="Times"/>
          <w:i/>
          <w:color w:val="000000"/>
          <w:sz w:val="26"/>
          <w:szCs w:val="26"/>
        </w:rPr>
        <w:t>Palotti</w:t>
      </w:r>
      <w:proofErr w:type="spellEnd"/>
      <w:r w:rsidRPr="00941CDE">
        <w:rPr>
          <w:rFonts w:ascii="Cambria" w:hAnsi="Cambria" w:cs="Times"/>
          <w:i/>
          <w:color w:val="000000"/>
          <w:sz w:val="26"/>
          <w:szCs w:val="26"/>
        </w:rPr>
        <w:t xml:space="preserve"> et al. [1], authors </w:t>
      </w:r>
      <w:proofErr w:type="gramStart"/>
      <w:r w:rsidRPr="00941CDE">
        <w:rPr>
          <w:rFonts w:ascii="Cambria" w:hAnsi="Cambria" w:cs="Times"/>
          <w:i/>
          <w:color w:val="000000"/>
          <w:sz w:val="26"/>
          <w:szCs w:val="26"/>
        </w:rPr>
        <w:t>investigates</w:t>
      </w:r>
      <w:proofErr w:type="gramEnd"/>
      <w:r w:rsidRPr="00941CDE">
        <w:rPr>
          <w:rFonts w:ascii="Cambria" w:hAnsi="Cambria" w:cs="Times"/>
          <w:i/>
          <w:color w:val="000000"/>
          <w:sz w:val="26"/>
          <w:szCs w:val="26"/>
        </w:rPr>
        <w:t xml:space="preserve"> the influence of HTML preprocessing when readability formulas are used to estimate Webpage understandability. They found that readability formulas are heavily affected by the methods used to extract text from the HTML source, but they did not measure how correlated each method was with a human ground truth. We further extended </w:t>
      </w:r>
      <w:proofErr w:type="spellStart"/>
      <w:r w:rsidRPr="00941CDE">
        <w:rPr>
          <w:rFonts w:ascii="Cambria" w:hAnsi="Cambria" w:cs="Times"/>
          <w:i/>
          <w:color w:val="000000"/>
          <w:sz w:val="26"/>
          <w:szCs w:val="26"/>
        </w:rPr>
        <w:t>Palotti</w:t>
      </w:r>
      <w:proofErr w:type="spellEnd"/>
      <w:r w:rsidRPr="00941CDE">
        <w:rPr>
          <w:rFonts w:ascii="Cambria" w:hAnsi="Cambria" w:cs="Times"/>
          <w:i/>
          <w:color w:val="000000"/>
          <w:sz w:val="26"/>
          <w:szCs w:val="26"/>
        </w:rPr>
        <w:t xml:space="preserve"> et al.’s work to understand the influence of HTML preprocessing on automatic understandability methods and establish best practices. We show the correlation of each preprocessing combination with the ground truth assessments for CLEF 2016. </w:t>
      </w:r>
    </w:p>
    <w:p w14:paraId="2D0DECAE" w14:textId="776951FE" w:rsidR="006A2DB0" w:rsidRPr="00DA0D96" w:rsidRDefault="006A2DB0" w:rsidP="00941CD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398AA293" wp14:editId="1DB74DDB">
            <wp:extent cx="5180728" cy="3088640"/>
            <wp:effectExtent l="0" t="0" r="127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5283" cy="3097317"/>
                    </a:xfrm>
                    <a:prstGeom prst="rect">
                      <a:avLst/>
                    </a:prstGeom>
                    <a:noFill/>
                    <a:ln>
                      <a:noFill/>
                    </a:ln>
                  </pic:spPr>
                </pic:pic>
              </a:graphicData>
            </a:graphic>
          </wp:inline>
        </w:drawing>
      </w:r>
      <w:r w:rsidRPr="00DA0D96">
        <w:rPr>
          <w:rFonts w:ascii="Cambria" w:hAnsi="Cambria" w:cs="Times"/>
          <w:noProof/>
          <w:color w:val="000000"/>
          <w:lang w:val="en-GB" w:eastAsia="en-GB"/>
        </w:rPr>
        <w:drawing>
          <wp:inline distT="0" distB="0" distL="0" distR="0" wp14:anchorId="061A338C" wp14:editId="0CE7CBAF">
            <wp:extent cx="5162608" cy="311493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7141" cy="3123700"/>
                    </a:xfrm>
                    <a:prstGeom prst="rect">
                      <a:avLst/>
                    </a:prstGeom>
                    <a:noFill/>
                    <a:ln>
                      <a:noFill/>
                    </a:ln>
                  </pic:spPr>
                </pic:pic>
              </a:graphicData>
            </a:graphic>
          </wp:inline>
        </w:drawing>
      </w:r>
      <w:r w:rsidRPr="00DA0D96">
        <w:rPr>
          <w:rFonts w:ascii="Cambria" w:hAnsi="Cambria" w:cs="Times"/>
          <w:noProof/>
          <w:color w:val="000000"/>
          <w:lang w:val="en-GB" w:eastAsia="en-GB"/>
        </w:rPr>
        <w:drawing>
          <wp:inline distT="0" distB="0" distL="0" distR="0" wp14:anchorId="2848948D" wp14:editId="67F63656">
            <wp:extent cx="4823363" cy="1008149"/>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042" cy="1013934"/>
                    </a:xfrm>
                    <a:prstGeom prst="rect">
                      <a:avLst/>
                    </a:prstGeom>
                    <a:noFill/>
                    <a:ln>
                      <a:noFill/>
                    </a:ln>
                  </pic:spPr>
                </pic:pic>
              </a:graphicData>
            </a:graphic>
          </wp:inline>
        </w:drawing>
      </w:r>
    </w:p>
    <w:p w14:paraId="0A3D9280"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5.</w:t>
      </w:r>
      <w:r w:rsidRPr="00941CDE">
        <w:rPr>
          <w:rFonts w:ascii="Cambria" w:hAnsi="Cambria" w:cs="Times"/>
          <w:i/>
          <w:color w:val="000000"/>
          <w:sz w:val="26"/>
          <w:szCs w:val="26"/>
        </w:rPr>
        <w:t xml:space="preserve"> Correlations between understandability estimators and human assessments for CLEF 2015.  </w:t>
      </w:r>
    </w:p>
    <w:p w14:paraId="7729F052" w14:textId="17379066" w:rsidR="006A2DB0" w:rsidRPr="00DA0D96" w:rsidRDefault="006A2DB0" w:rsidP="00AA4CC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1FBC4A99" wp14:editId="2C23E8E7">
            <wp:extent cx="5564169" cy="33172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8990" cy="3326076"/>
                    </a:xfrm>
                    <a:prstGeom prst="rect">
                      <a:avLst/>
                    </a:prstGeom>
                    <a:noFill/>
                    <a:ln>
                      <a:noFill/>
                    </a:ln>
                  </pic:spPr>
                </pic:pic>
              </a:graphicData>
            </a:graphic>
          </wp:inline>
        </w:drawing>
      </w:r>
      <w:r w:rsidRPr="00DA0D96">
        <w:rPr>
          <w:rFonts w:ascii="Cambria" w:hAnsi="Cambria" w:cs="Times"/>
          <w:noProof/>
          <w:color w:val="000000"/>
          <w:lang w:val="en-GB" w:eastAsia="en-GB"/>
        </w:rPr>
        <w:drawing>
          <wp:inline distT="0" distB="0" distL="0" distR="0" wp14:anchorId="6413EB7B" wp14:editId="03BE3C29">
            <wp:extent cx="5513590" cy="332670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8720" cy="3341864"/>
                    </a:xfrm>
                    <a:prstGeom prst="rect">
                      <a:avLst/>
                    </a:prstGeom>
                    <a:noFill/>
                    <a:ln>
                      <a:noFill/>
                    </a:ln>
                  </pic:spPr>
                </pic:pic>
              </a:graphicData>
            </a:graphic>
          </wp:inline>
        </w:drawing>
      </w:r>
      <w:r w:rsidR="00941CDE" w:rsidRPr="00DA0D96">
        <w:rPr>
          <w:rFonts w:ascii="Cambria" w:hAnsi="Cambria" w:cs="Times"/>
          <w:noProof/>
          <w:color w:val="000000"/>
          <w:lang w:val="en-GB" w:eastAsia="en-GB"/>
        </w:rPr>
        <w:drawing>
          <wp:inline distT="0" distB="0" distL="0" distR="0" wp14:anchorId="61A07D46" wp14:editId="64F2DEB0">
            <wp:extent cx="4823363" cy="1008149"/>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042" cy="1013934"/>
                    </a:xfrm>
                    <a:prstGeom prst="rect">
                      <a:avLst/>
                    </a:prstGeom>
                    <a:noFill/>
                    <a:ln>
                      <a:noFill/>
                    </a:ln>
                  </pic:spPr>
                </pic:pic>
              </a:graphicData>
            </a:graphic>
          </wp:inline>
        </w:drawing>
      </w:r>
    </w:p>
    <w:p w14:paraId="1EF55FFE"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6.</w:t>
      </w:r>
      <w:r w:rsidRPr="00941CDE">
        <w:rPr>
          <w:rFonts w:ascii="Cambria" w:hAnsi="Cambria" w:cs="Times"/>
          <w:i/>
          <w:color w:val="000000"/>
          <w:sz w:val="26"/>
          <w:szCs w:val="26"/>
        </w:rPr>
        <w:t xml:space="preserve"> Correlations between understandability estimators and human assessments for CLEF 2015. </w:t>
      </w:r>
    </w:p>
    <w:p w14:paraId="467063D2"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60B2533E" w14:textId="77777777" w:rsidR="006A2DB0" w:rsidRPr="00DA0D96" w:rsidRDefault="006A2DB0" w:rsidP="00AA4CC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val="en-GB" w:eastAsia="en-GB"/>
        </w:rPr>
        <w:drawing>
          <wp:inline distT="0" distB="0" distL="0" distR="0" wp14:anchorId="1BF74211" wp14:editId="77AE549F">
            <wp:extent cx="3888740" cy="254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740" cy="2549525"/>
                    </a:xfrm>
                    <a:prstGeom prst="rect">
                      <a:avLst/>
                    </a:prstGeom>
                    <a:noFill/>
                    <a:ln>
                      <a:noFill/>
                    </a:ln>
                  </pic:spPr>
                </pic:pic>
              </a:graphicData>
            </a:graphic>
          </wp:inline>
        </w:drawing>
      </w:r>
    </w:p>
    <w:p w14:paraId="3D8E2C06" w14:textId="0C7F6CF0" w:rsidR="006A2DB0" w:rsidRPr="007074ED" w:rsidRDefault="006A2DB0" w:rsidP="006A2DB0">
      <w:pPr>
        <w:widowControl w:val="0"/>
        <w:autoSpaceDE w:val="0"/>
        <w:autoSpaceDN w:val="0"/>
        <w:adjustRightInd w:val="0"/>
        <w:spacing w:after="240" w:line="300" w:lineRule="atLeast"/>
        <w:rPr>
          <w:rFonts w:ascii="Cambria" w:hAnsi="Cambria" w:cs="Times"/>
          <w:i/>
          <w:color w:val="000000"/>
        </w:rPr>
      </w:pPr>
      <w:r w:rsidRPr="007074ED">
        <w:rPr>
          <w:rFonts w:ascii="Cambria" w:hAnsi="Cambria" w:cs="Times"/>
          <w:b/>
          <w:i/>
          <w:color w:val="000000"/>
          <w:sz w:val="26"/>
          <w:szCs w:val="26"/>
        </w:rPr>
        <w:t>Figure 7.</w:t>
      </w:r>
      <w:r w:rsidRPr="007074ED">
        <w:rPr>
          <w:rFonts w:ascii="Cambria" w:hAnsi="Cambria" w:cs="Times"/>
          <w:i/>
          <w:color w:val="000000"/>
          <w:sz w:val="26"/>
          <w:szCs w:val="26"/>
        </w:rPr>
        <w:t xml:space="preserve"> To study the impact of feature sets, we varied the number of features each </w:t>
      </w:r>
      <w:proofErr w:type="spellStart"/>
      <w:r w:rsidRPr="007074ED">
        <w:rPr>
          <w:rFonts w:ascii="Cambria" w:hAnsi="Cambria" w:cs="Times"/>
          <w:i/>
          <w:color w:val="000000"/>
          <w:sz w:val="26"/>
          <w:szCs w:val="26"/>
        </w:rPr>
        <w:t>regressor</w:t>
      </w:r>
      <w:proofErr w:type="spellEnd"/>
      <w:r w:rsidRPr="007074ED">
        <w:rPr>
          <w:rFonts w:ascii="Cambria" w:hAnsi="Cambria" w:cs="Times"/>
          <w:i/>
          <w:color w:val="000000"/>
          <w:sz w:val="26"/>
          <w:szCs w:val="26"/>
        </w:rPr>
        <w:t xml:space="preserve"> algorithm was trained with. For that, we selected features with Python’s </w:t>
      </w:r>
      <w:proofErr w:type="spellStart"/>
      <w:r w:rsidRPr="007074ED">
        <w:rPr>
          <w:rFonts w:ascii="Cambria" w:hAnsi="Cambria" w:cs="Times"/>
          <w:i/>
          <w:color w:val="000000"/>
          <w:sz w:val="26"/>
          <w:szCs w:val="26"/>
        </w:rPr>
        <w:t>f_regression</w:t>
      </w:r>
      <w:proofErr w:type="spellEnd"/>
      <w:r w:rsidRPr="007074ED">
        <w:rPr>
          <w:rFonts w:ascii="Cambria" w:hAnsi="Cambria" w:cs="Times"/>
          <w:i/>
          <w:color w:val="000000"/>
          <w:sz w:val="26"/>
          <w:szCs w:val="26"/>
        </w:rPr>
        <w:t xml:space="preserve"> algorithm from </w:t>
      </w:r>
      <w:proofErr w:type="spellStart"/>
      <w:r w:rsidRPr="007074ED">
        <w:rPr>
          <w:rFonts w:ascii="Cambria" w:hAnsi="Cambria" w:cs="Times"/>
          <w:i/>
          <w:color w:val="000000"/>
          <w:sz w:val="26"/>
          <w:szCs w:val="26"/>
        </w:rPr>
        <w:t>Sklearn</w:t>
      </w:r>
      <w:proofErr w:type="spellEnd"/>
      <w:r w:rsidRPr="007074ED">
        <w:rPr>
          <w:rFonts w:ascii="Cambria" w:hAnsi="Cambria" w:cs="Times"/>
          <w:i/>
          <w:color w:val="000000"/>
          <w:sz w:val="26"/>
          <w:szCs w:val="26"/>
        </w:rPr>
        <w:t xml:space="preserve"> package. The </w:t>
      </w:r>
      <w:proofErr w:type="spellStart"/>
      <w:r w:rsidRPr="007074ED">
        <w:rPr>
          <w:rFonts w:ascii="Cambria" w:hAnsi="Cambria" w:cs="Times"/>
          <w:i/>
          <w:color w:val="000000"/>
          <w:sz w:val="26"/>
          <w:szCs w:val="26"/>
        </w:rPr>
        <w:t>eXtreme</w:t>
      </w:r>
      <w:proofErr w:type="spellEnd"/>
      <w:r w:rsidRPr="007074ED">
        <w:rPr>
          <w:rFonts w:ascii="Cambria" w:hAnsi="Cambria" w:cs="Times"/>
          <w:i/>
          <w:color w:val="000000"/>
          <w:sz w:val="26"/>
          <w:szCs w:val="26"/>
        </w:rPr>
        <w:t xml:space="preserve"> Gradient Boosting (XGB) and Random Forest </w:t>
      </w:r>
      <w:proofErr w:type="spellStart"/>
      <w:r w:rsidRPr="007074ED">
        <w:rPr>
          <w:rFonts w:ascii="Cambria" w:hAnsi="Cambria" w:cs="Times"/>
          <w:i/>
          <w:color w:val="000000"/>
          <w:sz w:val="26"/>
          <w:szCs w:val="26"/>
        </w:rPr>
        <w:t>Regressor</w:t>
      </w:r>
      <w:proofErr w:type="spellEnd"/>
      <w:r w:rsidRPr="007074ED">
        <w:rPr>
          <w:rFonts w:ascii="Cambria" w:hAnsi="Cambria" w:cs="Times"/>
          <w:i/>
          <w:color w:val="000000"/>
          <w:sz w:val="26"/>
          <w:szCs w:val="26"/>
        </w:rPr>
        <w:t xml:space="preserve"> were marginally influenced by the selection of features, therefore we used XGB with all features devised in our experiments. </w:t>
      </w:r>
    </w:p>
    <w:p w14:paraId="123BBC9F"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75F15EC8" wp14:editId="47CE04C9">
            <wp:extent cx="6483985" cy="4692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3985" cy="4692015"/>
                    </a:xfrm>
                    <a:prstGeom prst="rect">
                      <a:avLst/>
                    </a:prstGeom>
                    <a:noFill/>
                    <a:ln>
                      <a:noFill/>
                    </a:ln>
                  </pic:spPr>
                </pic:pic>
              </a:graphicData>
            </a:graphic>
          </wp:inline>
        </w:drawing>
      </w:r>
    </w:p>
    <w:p w14:paraId="18BFDC75" w14:textId="4D696733" w:rsidR="006A2DB0" w:rsidRPr="007074ED" w:rsidRDefault="007074ED" w:rsidP="006A2DB0">
      <w:pPr>
        <w:widowControl w:val="0"/>
        <w:autoSpaceDE w:val="0"/>
        <w:autoSpaceDN w:val="0"/>
        <w:adjustRightInd w:val="0"/>
        <w:spacing w:after="240" w:line="300" w:lineRule="atLeast"/>
        <w:rPr>
          <w:rFonts w:ascii="Cambria" w:hAnsi="Cambria" w:cs="Times"/>
          <w:i/>
          <w:color w:val="000000"/>
        </w:rPr>
      </w:pPr>
      <w:r w:rsidRPr="007074ED">
        <w:rPr>
          <w:rFonts w:ascii="Cambria" w:hAnsi="Cambria" w:cs="Times"/>
          <w:b/>
          <w:i/>
          <w:color w:val="000000"/>
          <w:sz w:val="26"/>
          <w:szCs w:val="26"/>
        </w:rPr>
        <w:t>Table 1.</w:t>
      </w:r>
      <w:r w:rsidRPr="007074ED">
        <w:rPr>
          <w:rFonts w:ascii="Cambria" w:hAnsi="Cambria" w:cs="Times"/>
          <w:i/>
          <w:color w:val="000000"/>
          <w:sz w:val="26"/>
          <w:szCs w:val="26"/>
        </w:rPr>
        <w:t xml:space="preserve"> We expanded retrieval results including the experiments with Reciprocal Rank Fusion (RRF) of Dale-</w:t>
      </w:r>
      <w:proofErr w:type="spellStart"/>
      <w:r w:rsidRPr="007074ED">
        <w:rPr>
          <w:rFonts w:ascii="Cambria" w:hAnsi="Cambria" w:cs="Times"/>
          <w:i/>
          <w:color w:val="000000"/>
          <w:sz w:val="26"/>
          <w:szCs w:val="26"/>
        </w:rPr>
        <w:t>Chall</w:t>
      </w:r>
      <w:proofErr w:type="spellEnd"/>
      <w:r w:rsidRPr="007074ED">
        <w:rPr>
          <w:rFonts w:ascii="Cambria" w:hAnsi="Cambria" w:cs="Times"/>
          <w:i/>
          <w:color w:val="000000"/>
          <w:sz w:val="26"/>
          <w:szCs w:val="26"/>
        </w:rPr>
        <w:t xml:space="preserve"> Index Runs (indices 4-12) and the original runs (indices 1-3). These results confirm the superiority of using XGB rather than DCI in terms of understandability of the results retrieved.</w:t>
      </w:r>
    </w:p>
    <w:p w14:paraId="13792CEE"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459A5CAD" wp14:editId="0B91C7E9">
            <wp:extent cx="6483985" cy="30654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83985" cy="3065494"/>
                    </a:xfrm>
                    <a:prstGeom prst="rect">
                      <a:avLst/>
                    </a:prstGeom>
                    <a:noFill/>
                    <a:ln>
                      <a:noFill/>
                    </a:ln>
                  </pic:spPr>
                </pic:pic>
              </a:graphicData>
            </a:graphic>
          </wp:inline>
        </w:drawing>
      </w:r>
    </w:p>
    <w:p w14:paraId="2ABD5152" w14:textId="6D3BB642" w:rsidR="006A2DB0" w:rsidRPr="007074ED" w:rsidRDefault="007074ED" w:rsidP="006A2DB0">
      <w:pPr>
        <w:widowControl w:val="0"/>
        <w:autoSpaceDE w:val="0"/>
        <w:autoSpaceDN w:val="0"/>
        <w:adjustRightInd w:val="0"/>
        <w:spacing w:after="240" w:line="300" w:lineRule="atLeast"/>
        <w:rPr>
          <w:rFonts w:ascii="Cambria" w:hAnsi="Cambria" w:cs="Times"/>
          <w:i/>
          <w:color w:val="000000"/>
        </w:rPr>
      </w:pPr>
      <w:r w:rsidRPr="007074ED">
        <w:rPr>
          <w:rFonts w:ascii="Cambria" w:hAnsi="Cambria" w:cs="Times"/>
          <w:b/>
          <w:i/>
          <w:color w:val="000000"/>
          <w:sz w:val="26"/>
          <w:szCs w:val="26"/>
        </w:rPr>
        <w:t>Table 2</w:t>
      </w:r>
      <w:r w:rsidR="006A2DB0" w:rsidRPr="007074ED">
        <w:rPr>
          <w:rFonts w:ascii="Cambria" w:hAnsi="Cambria" w:cs="Times"/>
          <w:b/>
          <w:i/>
          <w:color w:val="000000"/>
          <w:sz w:val="26"/>
          <w:szCs w:val="26"/>
        </w:rPr>
        <w:t>.</w:t>
      </w:r>
      <w:r w:rsidR="006A2DB0" w:rsidRPr="007074ED">
        <w:rPr>
          <w:rFonts w:ascii="Cambria" w:hAnsi="Cambria" w:cs="Times"/>
          <w:i/>
          <w:color w:val="000000"/>
          <w:sz w:val="26"/>
          <w:szCs w:val="26"/>
        </w:rPr>
        <w:t xml:space="preserve"> Results obtained by integrating understandability estimations within retrieval methods on CLEF 2015. Baseline runs are reported at table indices 1-3 (the index column is labelled Index). Re-ranking experiments are reported at indices 4-21. Fusion experiments are reported at indices 22-30. Learning to rank experiments are reported at indices 31-35. All measures were calculated up to rank n = 10. The highest result of each set of experiments is reported in bold face. </w:t>
      </w:r>
    </w:p>
    <w:p w14:paraId="60588FB7" w14:textId="77777777" w:rsidR="00A774D7" w:rsidRDefault="00F554E4">
      <w:pPr>
        <w:pStyle w:val="Heading1"/>
      </w:pPr>
      <w:bookmarkStart w:id="2" w:name="references"/>
      <w:bookmarkEnd w:id="2"/>
      <w:r>
        <w:t>References</w:t>
      </w:r>
    </w:p>
    <w:p w14:paraId="7C8DF5BF" w14:textId="0092C7D0" w:rsidR="007E3B1F" w:rsidRPr="007074ED" w:rsidRDefault="007074ED" w:rsidP="007074ED">
      <w:pPr>
        <w:pStyle w:val="BodyText"/>
      </w:pPr>
      <w:r w:rsidRPr="007074ED">
        <w:t xml:space="preserve">[1] </w:t>
      </w:r>
      <w:proofErr w:type="spellStart"/>
      <w:r w:rsidRPr="007074ED">
        <w:t>Palotti</w:t>
      </w:r>
      <w:proofErr w:type="spellEnd"/>
      <w:r w:rsidRPr="007074ED">
        <w:t xml:space="preserve"> J, Zuccon G, </w:t>
      </w:r>
      <w:proofErr w:type="spellStart"/>
      <w:r w:rsidRPr="007074ED">
        <w:t>Hanbury</w:t>
      </w:r>
      <w:proofErr w:type="spellEnd"/>
      <w:r w:rsidRPr="007074ED">
        <w:t xml:space="preserve"> A. The Influence of Pre-processing on the Estimation of Readability of Web Documents. In: Proceedings of the 24th ACM International on Conference on Information and Knowledge Management. CIKM ’15. New York, NY, USA: ACM; 2015. p. 1763–1766. doi:10.1145/2806416.2806613. </w:t>
      </w:r>
    </w:p>
    <w:p w14:paraId="6D199B57" w14:textId="77777777" w:rsidR="007E3B1F" w:rsidRPr="007E3B1F" w:rsidRDefault="007E3B1F" w:rsidP="007E3B1F">
      <w:pPr>
        <w:pStyle w:val="BodyText"/>
      </w:pPr>
    </w:p>
    <w:sectPr w:rsidR="007E3B1F" w:rsidRPr="007E3B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FD5BB" w14:textId="77777777" w:rsidR="001D4157" w:rsidRDefault="001D4157">
      <w:pPr>
        <w:spacing w:after="0"/>
      </w:pPr>
      <w:r>
        <w:separator/>
      </w:r>
    </w:p>
  </w:endnote>
  <w:endnote w:type="continuationSeparator" w:id="0">
    <w:p w14:paraId="2E9645B8" w14:textId="77777777" w:rsidR="001D4157" w:rsidRDefault="001D41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90719" w14:textId="77777777" w:rsidR="001D4157" w:rsidRDefault="001D4157">
      <w:r>
        <w:separator/>
      </w:r>
    </w:p>
  </w:footnote>
  <w:footnote w:type="continuationSeparator" w:id="0">
    <w:p w14:paraId="24DB0DD6" w14:textId="77777777" w:rsidR="001D4157" w:rsidRDefault="001D415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870ED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8BC6A06"/>
    <w:multiLevelType w:val="multilevel"/>
    <w:tmpl w:val="3C68D8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3"/>
    <w:multiLevelType w:val="hybridMultilevel"/>
    <w:tmpl w:val="00000003"/>
    <w:lvl w:ilvl="0" w:tplc="000000C9">
      <w:start w:val="3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4"/>
    <w:multiLevelType w:val="hybridMultilevel"/>
    <w:tmpl w:val="00000004"/>
    <w:lvl w:ilvl="0" w:tplc="0000012D">
      <w:start w:val="5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5"/>
    <w:multiLevelType w:val="hybridMultilevel"/>
    <w:tmpl w:val="00000005"/>
    <w:lvl w:ilvl="0" w:tplc="00000191">
      <w:start w:val="6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6"/>
    <w:multiLevelType w:val="hybridMultilevel"/>
    <w:tmpl w:val="00000006"/>
    <w:lvl w:ilvl="0" w:tplc="000001F5">
      <w:start w:val="8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26A1733B"/>
    <w:multiLevelType w:val="multilevel"/>
    <w:tmpl w:val="35566E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713F6A51"/>
    <w:multiLevelType w:val="multilevel"/>
    <w:tmpl w:val="19369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3"/>
  </w:num>
  <w:num w:numId="10">
    <w:abstractNumId w:val="4"/>
  </w:num>
  <w:num w:numId="11">
    <w:abstractNumId w:val="5"/>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390C"/>
    <w:rsid w:val="00072BC4"/>
    <w:rsid w:val="000A6BB8"/>
    <w:rsid w:val="000D6FCE"/>
    <w:rsid w:val="001311F7"/>
    <w:rsid w:val="0014067D"/>
    <w:rsid w:val="00162359"/>
    <w:rsid w:val="00175F02"/>
    <w:rsid w:val="00177B7C"/>
    <w:rsid w:val="001B6844"/>
    <w:rsid w:val="001D3860"/>
    <w:rsid w:val="001D4157"/>
    <w:rsid w:val="001F6306"/>
    <w:rsid w:val="00212DA8"/>
    <w:rsid w:val="00221231"/>
    <w:rsid w:val="00265B24"/>
    <w:rsid w:val="00344576"/>
    <w:rsid w:val="00393717"/>
    <w:rsid w:val="003A1A7C"/>
    <w:rsid w:val="003A2D7A"/>
    <w:rsid w:val="00412EAC"/>
    <w:rsid w:val="00447841"/>
    <w:rsid w:val="004E25EC"/>
    <w:rsid w:val="004E29B3"/>
    <w:rsid w:val="004F5795"/>
    <w:rsid w:val="005714EE"/>
    <w:rsid w:val="00573F8D"/>
    <w:rsid w:val="005806F6"/>
    <w:rsid w:val="00590D07"/>
    <w:rsid w:val="005A0EAF"/>
    <w:rsid w:val="005B02B9"/>
    <w:rsid w:val="005B4420"/>
    <w:rsid w:val="005C561F"/>
    <w:rsid w:val="005F6424"/>
    <w:rsid w:val="005F7B0C"/>
    <w:rsid w:val="00606654"/>
    <w:rsid w:val="00612A0C"/>
    <w:rsid w:val="00642D22"/>
    <w:rsid w:val="00664436"/>
    <w:rsid w:val="006771F2"/>
    <w:rsid w:val="006A2DB0"/>
    <w:rsid w:val="007074ED"/>
    <w:rsid w:val="00716AA4"/>
    <w:rsid w:val="00727493"/>
    <w:rsid w:val="00777E51"/>
    <w:rsid w:val="00784D58"/>
    <w:rsid w:val="007978F5"/>
    <w:rsid w:val="007E3B1F"/>
    <w:rsid w:val="007F7AAB"/>
    <w:rsid w:val="008348FC"/>
    <w:rsid w:val="00834A40"/>
    <w:rsid w:val="00867DAD"/>
    <w:rsid w:val="008817FF"/>
    <w:rsid w:val="008A6936"/>
    <w:rsid w:val="008C1A3D"/>
    <w:rsid w:val="008C45E9"/>
    <w:rsid w:val="008D6863"/>
    <w:rsid w:val="008E3DB2"/>
    <w:rsid w:val="009237B3"/>
    <w:rsid w:val="00941CDE"/>
    <w:rsid w:val="009A0B0F"/>
    <w:rsid w:val="009C6B0B"/>
    <w:rsid w:val="00A4253F"/>
    <w:rsid w:val="00A774D7"/>
    <w:rsid w:val="00AA4CCE"/>
    <w:rsid w:val="00AE3AE1"/>
    <w:rsid w:val="00B2085B"/>
    <w:rsid w:val="00B86B75"/>
    <w:rsid w:val="00B921A1"/>
    <w:rsid w:val="00BB444B"/>
    <w:rsid w:val="00BC48D5"/>
    <w:rsid w:val="00C0342C"/>
    <w:rsid w:val="00C14E0C"/>
    <w:rsid w:val="00C1709B"/>
    <w:rsid w:val="00C20F46"/>
    <w:rsid w:val="00C36279"/>
    <w:rsid w:val="00C80CBF"/>
    <w:rsid w:val="00C81A75"/>
    <w:rsid w:val="00C86D03"/>
    <w:rsid w:val="00CD2375"/>
    <w:rsid w:val="00CF2679"/>
    <w:rsid w:val="00D504BD"/>
    <w:rsid w:val="00D75FB8"/>
    <w:rsid w:val="00D7765A"/>
    <w:rsid w:val="00D930C4"/>
    <w:rsid w:val="00D95443"/>
    <w:rsid w:val="00DD12B7"/>
    <w:rsid w:val="00DE3E2A"/>
    <w:rsid w:val="00E315A3"/>
    <w:rsid w:val="00E33FE8"/>
    <w:rsid w:val="00F05877"/>
    <w:rsid w:val="00F1563C"/>
    <w:rsid w:val="00F16BF1"/>
    <w:rsid w:val="00F36A3D"/>
    <w:rsid w:val="00F554E4"/>
    <w:rsid w:val="00F712AE"/>
    <w:rsid w:val="00F86BDF"/>
    <w:rsid w:val="00F91136"/>
    <w:rsid w:val="00FB7255"/>
    <w:rsid w:val="00FF569D"/>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28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978F5"/>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Preformatted">
    <w:name w:val="HTML Preformatted"/>
    <w:basedOn w:val="Normal"/>
    <w:link w:val="HTMLPreformattedChar"/>
    <w:uiPriority w:val="99"/>
    <w:semiHidden/>
    <w:unhideWhenUsed/>
    <w:rsid w:val="00797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78F5"/>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204635068">
      <w:bodyDiv w:val="1"/>
      <w:marLeft w:val="0"/>
      <w:marRight w:val="0"/>
      <w:marTop w:val="0"/>
      <w:marBottom w:val="0"/>
      <w:divBdr>
        <w:top w:val="none" w:sz="0" w:space="0" w:color="auto"/>
        <w:left w:val="none" w:sz="0" w:space="0" w:color="auto"/>
        <w:bottom w:val="none" w:sz="0" w:space="0" w:color="auto"/>
        <w:right w:val="none" w:sz="0" w:space="0" w:color="auto"/>
      </w:divBdr>
    </w:div>
    <w:div w:id="13181925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emf"/><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9</Pages>
  <Words>567</Words>
  <Characters>3233</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jmir simplified</vt:lpstr>
    </vt:vector>
  </TitlesOfParts>
  <LinksUpToDate>false</LinksUpToDate>
  <CharactersWithSpaces>3793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jmir simplified</dc:title>
  <dc:creator>Guido Zuccon</dc:creator>
  <cp:lastModifiedBy>Guido Zuccon</cp:lastModifiedBy>
  <cp:revision>76</cp:revision>
  <dcterms:created xsi:type="dcterms:W3CDTF">2018-04-25T04:33:00Z</dcterms:created>
  <dcterms:modified xsi:type="dcterms:W3CDTF">2018-04-26T09:34:00Z</dcterms:modified>
</cp:coreProperties>
</file>