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4516B779" w:rsidR="00C86D03" w:rsidRDefault="00C86D03">
      <w:pPr>
        <w:rPr>
          <w:lang w:val="en-GB"/>
        </w:rPr>
      </w:pPr>
      <w:r w:rsidRPr="00C86D03">
        <w:rPr>
          <w:lang w:val="en-GB"/>
        </w:rPr>
        <w:t>Original Article</w:t>
      </w:r>
      <w:r w:rsidR="006A2DB0">
        <w:rPr>
          <w:lang w:val="en-GB"/>
        </w:rPr>
        <w:t xml:space="preserve"> (Appendix)</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1DB85EBA" w:rsidR="00C86D03" w:rsidRPr="00C86D03" w:rsidRDefault="006A2DB0" w:rsidP="00C86D03">
      <w:pPr>
        <w:rPr>
          <w:lang w:val="en-GB"/>
        </w:rPr>
      </w:pPr>
      <w:r>
        <w:rPr>
          <w:bCs/>
          <w:lang w:val="en-GB"/>
        </w:rPr>
        <w:t xml:space="preserve">Appendix to: </w:t>
      </w:r>
      <w:r w:rsidR="00C86D03" w:rsidRPr="00C86D03">
        <w:rPr>
          <w:bCs/>
          <w:lang w:val="en-GB"/>
        </w:rPr>
        <w:t xml:space="preserve">A Study of Web Page Understandability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4CCCC50A"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Allan Hanbury</w:t>
      </w:r>
      <w:r w:rsidR="00FF569D" w:rsidRPr="00FF569D">
        <w:rPr>
          <w:lang w:val="en-GB"/>
        </w:rPr>
        <w:t xml:space="preserve">, Ph.D. </w:t>
      </w:r>
      <w:r>
        <w:rPr>
          <w:lang w:val="en-GB"/>
        </w:rPr>
        <w:br/>
      </w:r>
      <w:r w:rsidR="007978F5" w:rsidRPr="007978F5">
        <w:t>TU Wien (V</w:t>
      </w:r>
      <w:r w:rsidR="007978F5">
        <w:t xml:space="preserve">ienna University of Technology), </w:t>
      </w:r>
      <w:r w:rsidR="007978F5" w:rsidRPr="007978F5">
        <w:rPr>
          <w:lang w:val="en-GB"/>
        </w:rPr>
        <w:t>Favoritenstrasse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46EA1870" w:rsidR="00A774D7" w:rsidRDefault="006A2DB0">
      <w:pPr>
        <w:pStyle w:val="Heading1"/>
      </w:pPr>
      <w:r>
        <w:lastRenderedPageBreak/>
        <w:t>Appendix</w:t>
      </w:r>
    </w:p>
    <w:p w14:paraId="65ACD815"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eastAsia="en-GB"/>
        </w:rPr>
        <w:drawing>
          <wp:inline distT="0" distB="0" distL="0" distR="0" wp14:anchorId="07E749E7" wp14:editId="4F0AC8C2">
            <wp:extent cx="5181600" cy="324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1600" cy="3241675"/>
                    </a:xfrm>
                    <a:prstGeom prst="rect">
                      <a:avLst/>
                    </a:prstGeom>
                    <a:noFill/>
                    <a:ln>
                      <a:noFill/>
                    </a:ln>
                  </pic:spPr>
                </pic:pic>
              </a:graphicData>
            </a:graphic>
          </wp:inline>
        </w:drawing>
      </w:r>
    </w:p>
    <w:p w14:paraId="32EA9969" w14:textId="26FDFA9B" w:rsidR="006A2DB0" w:rsidRPr="006A2DB0" w:rsidRDefault="006A2DB0" w:rsidP="006A2DB0">
      <w:pPr>
        <w:widowControl w:val="0"/>
        <w:autoSpaceDE w:val="0"/>
        <w:autoSpaceDN w:val="0"/>
        <w:adjustRightInd w:val="0"/>
        <w:spacing w:after="240" w:line="300" w:lineRule="atLeast"/>
        <w:rPr>
          <w:rFonts w:ascii="Cambria" w:hAnsi="Cambria" w:cs="Times"/>
          <w:i/>
          <w:noProof/>
          <w:color w:val="000000"/>
          <w:lang w:eastAsia="en-GB"/>
        </w:rPr>
      </w:pPr>
      <w:r w:rsidRPr="006A2DB0">
        <w:rPr>
          <w:rFonts w:ascii="Cambria" w:hAnsi="Cambria" w:cs="Times"/>
          <w:b/>
          <w:i/>
          <w:color w:val="000000"/>
        </w:rPr>
        <w:t>Figure 1.</w:t>
      </w:r>
      <w:r w:rsidRPr="006A2DB0">
        <w:rPr>
          <w:rFonts w:ascii="Cambria" w:hAnsi="Cambria" w:cs="Times"/>
          <w:i/>
          <w:color w:val="000000"/>
        </w:rPr>
        <w:t xml:space="preserve"> Understandability label distribution for CLEF eHealth 2016</w:t>
      </w:r>
      <w:r w:rsidRPr="006A2DB0">
        <w:rPr>
          <w:rFonts w:ascii="Cambria" w:hAnsi="Cambria" w:cs="Times"/>
          <w:i/>
          <w:noProof/>
          <w:color w:val="000000"/>
          <w:lang w:eastAsia="en-GB"/>
        </w:rPr>
        <w:t>.</w:t>
      </w:r>
      <w:r w:rsidRPr="006A2DB0">
        <w:rPr>
          <w:rFonts w:ascii="Cambria" w:hAnsi="Cambria" w:cs="Times"/>
          <w:i/>
          <w:noProof/>
          <w:color w:val="000000"/>
          <w:lang w:eastAsia="en-GB"/>
        </w:rPr>
        <w:t xml:space="preserve"> </w:t>
      </w:r>
    </w:p>
    <w:p w14:paraId="6D0C2DA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eastAsia="en-GB"/>
        </w:rPr>
        <w:drawing>
          <wp:inline distT="0" distB="0" distL="0" distR="0" wp14:anchorId="6BC489E6" wp14:editId="6DEB2B12">
            <wp:extent cx="5181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1600" cy="2438400"/>
                    </a:xfrm>
                    <a:prstGeom prst="rect">
                      <a:avLst/>
                    </a:prstGeom>
                    <a:noFill/>
                    <a:ln>
                      <a:noFill/>
                    </a:ln>
                  </pic:spPr>
                </pic:pic>
              </a:graphicData>
            </a:graphic>
          </wp:inline>
        </w:drawing>
      </w:r>
    </w:p>
    <w:p w14:paraId="07415291" w14:textId="7883D8E2" w:rsidR="006A2DB0" w:rsidRPr="006A2DB0" w:rsidRDefault="006A2DB0" w:rsidP="006A2DB0">
      <w:pPr>
        <w:widowControl w:val="0"/>
        <w:autoSpaceDE w:val="0"/>
        <w:autoSpaceDN w:val="0"/>
        <w:adjustRightInd w:val="0"/>
        <w:spacing w:after="240" w:line="300" w:lineRule="atLeast"/>
        <w:rPr>
          <w:rFonts w:ascii="Cambria" w:hAnsi="Cambria" w:cs="Times"/>
          <w:i/>
          <w:color w:val="000000"/>
        </w:rPr>
      </w:pPr>
      <w:r w:rsidRPr="006A2DB0">
        <w:rPr>
          <w:rFonts w:ascii="Cambria" w:hAnsi="Cambria" w:cs="Times"/>
          <w:b/>
          <w:i/>
          <w:color w:val="000000"/>
          <w:sz w:val="26"/>
          <w:szCs w:val="26"/>
        </w:rPr>
        <w:t>Figure 2.</w:t>
      </w:r>
      <w:r w:rsidRPr="006A2DB0">
        <w:rPr>
          <w:rFonts w:ascii="Cambria" w:hAnsi="Cambria" w:cs="Times"/>
          <w:i/>
          <w:color w:val="000000"/>
          <w:sz w:val="26"/>
          <w:szCs w:val="26"/>
        </w:rPr>
        <w:t xml:space="preserve"> Understandability distribution broken per topic for CLEF eHealth 2016</w:t>
      </w:r>
      <w:r>
        <w:rPr>
          <w:rFonts w:ascii="Cambria" w:hAnsi="Cambria" w:cs="Times"/>
          <w:i/>
          <w:color w:val="000000"/>
          <w:sz w:val="26"/>
          <w:szCs w:val="26"/>
        </w:rPr>
        <w:t>.</w:t>
      </w:r>
      <w:r w:rsidRPr="006A2DB0">
        <w:rPr>
          <w:rFonts w:ascii="Cambria" w:hAnsi="Cambria" w:cs="Times"/>
          <w:i/>
          <w:color w:val="000000"/>
          <w:sz w:val="26"/>
          <w:szCs w:val="26"/>
        </w:rPr>
        <w:t xml:space="preserve"> </w:t>
      </w:r>
    </w:p>
    <w:p w14:paraId="70093CF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2D73F99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eastAsia="en-GB"/>
        </w:rPr>
        <w:lastRenderedPageBreak/>
        <w:drawing>
          <wp:inline distT="0" distB="0" distL="0" distR="0" wp14:anchorId="71E04EBE" wp14:editId="4539BCF1">
            <wp:extent cx="3888740" cy="1662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eastAsia="en-GB"/>
        </w:rPr>
        <w:drawing>
          <wp:inline distT="0" distB="0" distL="0" distR="0" wp14:anchorId="5312555F" wp14:editId="016205F7">
            <wp:extent cx="3888740" cy="1662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eastAsia="en-GB"/>
        </w:rPr>
        <w:drawing>
          <wp:inline distT="0" distB="0" distL="0" distR="0" wp14:anchorId="288B9026" wp14:editId="0D25DD39">
            <wp:extent cx="3888740" cy="1662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eastAsia="en-GB"/>
        </w:rPr>
        <w:drawing>
          <wp:inline distT="0" distB="0" distL="0" distR="0" wp14:anchorId="00A48367" wp14:editId="4251BE47">
            <wp:extent cx="3888740" cy="831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5539E7A5"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3.</w:t>
      </w:r>
      <w:r w:rsidRPr="00941CDE">
        <w:rPr>
          <w:rFonts w:ascii="Cambria" w:hAnsi="Cambria" w:cs="Times"/>
          <w:i/>
          <w:color w:val="000000"/>
          <w:sz w:val="26"/>
          <w:szCs w:val="26"/>
        </w:rPr>
        <w:t xml:space="preserve"> In Palotti et al. [1], authors investigates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Palotti et al.’s work to understand the influence of HTML preprocessing on automatic understandability methods and establish best practices. We show the correlation of each preprocessing combination with the ground truth assessments for CLEF 2015. </w:t>
      </w:r>
    </w:p>
    <w:p w14:paraId="29789915"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129582F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eastAsia="en-GB"/>
        </w:rPr>
        <w:lastRenderedPageBreak/>
        <w:drawing>
          <wp:inline distT="0" distB="0" distL="0" distR="0" wp14:anchorId="54FD804C" wp14:editId="1C2FD0C8">
            <wp:extent cx="3888740" cy="1662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eastAsia="en-GB"/>
        </w:rPr>
        <w:drawing>
          <wp:inline distT="0" distB="0" distL="0" distR="0" wp14:anchorId="71695515" wp14:editId="70F1EAF5">
            <wp:extent cx="3888740" cy="1662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eastAsia="en-GB"/>
        </w:rPr>
        <w:drawing>
          <wp:inline distT="0" distB="0" distL="0" distR="0" wp14:anchorId="0BCF9B3D" wp14:editId="36832BBB">
            <wp:extent cx="3888740" cy="1662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eastAsia="en-GB"/>
        </w:rPr>
        <w:drawing>
          <wp:inline distT="0" distB="0" distL="0" distR="0" wp14:anchorId="61318417" wp14:editId="43A55A6B">
            <wp:extent cx="3888740" cy="83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0CCCEF88"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4.</w:t>
      </w:r>
      <w:r w:rsidRPr="00941CDE">
        <w:rPr>
          <w:rFonts w:ascii="Cambria" w:hAnsi="Cambria" w:cs="Times"/>
          <w:i/>
          <w:color w:val="000000"/>
          <w:sz w:val="26"/>
          <w:szCs w:val="26"/>
        </w:rPr>
        <w:t xml:space="preserve"> In Palotti et al. [1], authors investigates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Palotti et al.’s work to understand the influence of HTML preprocessing on automatic understandability methods and establish best practices. We show the correlation of each preprocessing combination with the ground truth assessments for CLEF 2016. </w:t>
      </w:r>
    </w:p>
    <w:p w14:paraId="2D0DECAE" w14:textId="776951FE" w:rsidR="006A2DB0" w:rsidRPr="00DA0D96" w:rsidRDefault="006A2DB0" w:rsidP="00941CD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eastAsia="en-GB"/>
        </w:rPr>
        <w:lastRenderedPageBreak/>
        <w:drawing>
          <wp:inline distT="0" distB="0" distL="0" distR="0" wp14:anchorId="398AA293" wp14:editId="1DB74DDB">
            <wp:extent cx="5180728" cy="3088640"/>
            <wp:effectExtent l="0" t="0" r="127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283" cy="3097317"/>
                    </a:xfrm>
                    <a:prstGeom prst="rect">
                      <a:avLst/>
                    </a:prstGeom>
                    <a:noFill/>
                    <a:ln>
                      <a:noFill/>
                    </a:ln>
                  </pic:spPr>
                </pic:pic>
              </a:graphicData>
            </a:graphic>
          </wp:inline>
        </w:drawing>
      </w:r>
      <w:r w:rsidRPr="00DA0D96">
        <w:rPr>
          <w:rFonts w:ascii="Cambria" w:hAnsi="Cambria" w:cs="Times"/>
          <w:noProof/>
          <w:color w:val="000000"/>
          <w:lang w:eastAsia="en-GB"/>
        </w:rPr>
        <w:drawing>
          <wp:inline distT="0" distB="0" distL="0" distR="0" wp14:anchorId="061A338C" wp14:editId="0CE7CBAF">
            <wp:extent cx="5162608" cy="31149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7141" cy="3123700"/>
                    </a:xfrm>
                    <a:prstGeom prst="rect">
                      <a:avLst/>
                    </a:prstGeom>
                    <a:noFill/>
                    <a:ln>
                      <a:noFill/>
                    </a:ln>
                  </pic:spPr>
                </pic:pic>
              </a:graphicData>
            </a:graphic>
          </wp:inline>
        </w:drawing>
      </w:r>
      <w:r w:rsidRPr="00DA0D96">
        <w:rPr>
          <w:rFonts w:ascii="Cambria" w:hAnsi="Cambria" w:cs="Times"/>
          <w:noProof/>
          <w:color w:val="000000"/>
          <w:lang w:eastAsia="en-GB"/>
        </w:rPr>
        <w:drawing>
          <wp:inline distT="0" distB="0" distL="0" distR="0" wp14:anchorId="2848948D" wp14:editId="67F63656">
            <wp:extent cx="4823363" cy="1008149"/>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0A3D9280"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5.</w:t>
      </w:r>
      <w:r w:rsidRPr="00941CDE">
        <w:rPr>
          <w:rFonts w:ascii="Cambria" w:hAnsi="Cambria" w:cs="Times"/>
          <w:i/>
          <w:color w:val="000000"/>
          <w:sz w:val="26"/>
          <w:szCs w:val="26"/>
        </w:rPr>
        <w:t xml:space="preserve"> Correlations between understandability estimators and human assessments for CLEF 2015.  </w:t>
      </w:r>
    </w:p>
    <w:p w14:paraId="7729F052" w14:textId="17379066"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eastAsia="en-GB"/>
        </w:rPr>
        <w:lastRenderedPageBreak/>
        <w:drawing>
          <wp:inline distT="0" distB="0" distL="0" distR="0" wp14:anchorId="1FBC4A99" wp14:editId="2C23E8E7">
            <wp:extent cx="5564169" cy="33172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990" cy="3326076"/>
                    </a:xfrm>
                    <a:prstGeom prst="rect">
                      <a:avLst/>
                    </a:prstGeom>
                    <a:noFill/>
                    <a:ln>
                      <a:noFill/>
                    </a:ln>
                  </pic:spPr>
                </pic:pic>
              </a:graphicData>
            </a:graphic>
          </wp:inline>
        </w:drawing>
      </w:r>
      <w:r w:rsidRPr="00DA0D96">
        <w:rPr>
          <w:rFonts w:ascii="Cambria" w:hAnsi="Cambria" w:cs="Times"/>
          <w:noProof/>
          <w:color w:val="000000"/>
          <w:lang w:eastAsia="en-GB"/>
        </w:rPr>
        <w:drawing>
          <wp:inline distT="0" distB="0" distL="0" distR="0" wp14:anchorId="6413EB7B" wp14:editId="03BE3C29">
            <wp:extent cx="5513590" cy="332670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720" cy="3341864"/>
                    </a:xfrm>
                    <a:prstGeom prst="rect">
                      <a:avLst/>
                    </a:prstGeom>
                    <a:noFill/>
                    <a:ln>
                      <a:noFill/>
                    </a:ln>
                  </pic:spPr>
                </pic:pic>
              </a:graphicData>
            </a:graphic>
          </wp:inline>
        </w:drawing>
      </w:r>
      <w:r w:rsidR="00941CDE" w:rsidRPr="00DA0D96">
        <w:rPr>
          <w:rFonts w:ascii="Cambria" w:hAnsi="Cambria" w:cs="Times"/>
          <w:noProof/>
          <w:color w:val="000000"/>
          <w:lang w:eastAsia="en-GB"/>
        </w:rPr>
        <w:drawing>
          <wp:inline distT="0" distB="0" distL="0" distR="0" wp14:anchorId="61A07D46" wp14:editId="64F2DEB0">
            <wp:extent cx="4823363" cy="1008149"/>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1EF55FFE"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6.</w:t>
      </w:r>
      <w:r w:rsidRPr="00941CDE">
        <w:rPr>
          <w:rFonts w:ascii="Cambria" w:hAnsi="Cambria" w:cs="Times"/>
          <w:i/>
          <w:color w:val="000000"/>
          <w:sz w:val="26"/>
          <w:szCs w:val="26"/>
        </w:rPr>
        <w:t xml:space="preserve"> Correlations between understandability estimators and human assessments for CLEF 2015. </w:t>
      </w:r>
    </w:p>
    <w:p w14:paraId="467063D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60B2533E" w14:textId="77777777"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eastAsia="en-GB"/>
        </w:rPr>
        <w:drawing>
          <wp:inline distT="0" distB="0" distL="0" distR="0" wp14:anchorId="1BF74211" wp14:editId="77AE549F">
            <wp:extent cx="3888740" cy="254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740" cy="2549525"/>
                    </a:xfrm>
                    <a:prstGeom prst="rect">
                      <a:avLst/>
                    </a:prstGeom>
                    <a:noFill/>
                    <a:ln>
                      <a:noFill/>
                    </a:ln>
                  </pic:spPr>
                </pic:pic>
              </a:graphicData>
            </a:graphic>
          </wp:inline>
        </w:drawing>
      </w:r>
    </w:p>
    <w:p w14:paraId="3D8E2C06" w14:textId="0C7F6CF0" w:rsidR="006A2DB0" w:rsidRPr="007074ED" w:rsidRDefault="006A2DB0"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Figure 7.</w:t>
      </w:r>
      <w:r w:rsidRPr="007074ED">
        <w:rPr>
          <w:rFonts w:ascii="Cambria" w:hAnsi="Cambria" w:cs="Times"/>
          <w:i/>
          <w:color w:val="000000"/>
          <w:sz w:val="26"/>
          <w:szCs w:val="26"/>
        </w:rPr>
        <w:t xml:space="preserve"> To study the impact of feature sets, we varied the number of features each regressor algorithm was trained with. For that, we selected features with Python’s f_regression algorithm from Sklearn package. The eXtreme Gradient Boosting (XGB) and Random Forest Regressor were marginally influenced by the selection of features, therefore we used XGB with all features devised in our experiments. </w:t>
      </w:r>
    </w:p>
    <w:p w14:paraId="123BBC9F"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eastAsia="en-GB"/>
        </w:rPr>
        <w:lastRenderedPageBreak/>
        <w:drawing>
          <wp:inline distT="0" distB="0" distL="0" distR="0" wp14:anchorId="75F15EC8" wp14:editId="47CE04C9">
            <wp:extent cx="6483985" cy="469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3985" cy="4692015"/>
                    </a:xfrm>
                    <a:prstGeom prst="rect">
                      <a:avLst/>
                    </a:prstGeom>
                    <a:noFill/>
                    <a:ln>
                      <a:noFill/>
                    </a:ln>
                  </pic:spPr>
                </pic:pic>
              </a:graphicData>
            </a:graphic>
          </wp:inline>
        </w:drawing>
      </w:r>
    </w:p>
    <w:p w14:paraId="18BFDC75" w14:textId="4D696733" w:rsidR="006A2DB0" w:rsidRPr="007074ED" w:rsidRDefault="007074ED"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Table</w:t>
      </w:r>
      <w:r w:rsidRPr="007074ED">
        <w:rPr>
          <w:rFonts w:ascii="Cambria" w:hAnsi="Cambria" w:cs="Times"/>
          <w:b/>
          <w:i/>
          <w:color w:val="000000"/>
          <w:sz w:val="26"/>
          <w:szCs w:val="26"/>
        </w:rPr>
        <w:t xml:space="preserve"> </w:t>
      </w:r>
      <w:r w:rsidRPr="007074ED">
        <w:rPr>
          <w:rFonts w:ascii="Cambria" w:hAnsi="Cambria" w:cs="Times"/>
          <w:b/>
          <w:i/>
          <w:color w:val="000000"/>
          <w:sz w:val="26"/>
          <w:szCs w:val="26"/>
        </w:rPr>
        <w:t>1</w:t>
      </w:r>
      <w:r w:rsidRPr="007074ED">
        <w:rPr>
          <w:rFonts w:ascii="Cambria" w:hAnsi="Cambria" w:cs="Times"/>
          <w:b/>
          <w:i/>
          <w:color w:val="000000"/>
          <w:sz w:val="26"/>
          <w:szCs w:val="26"/>
        </w:rPr>
        <w:t>.</w:t>
      </w:r>
      <w:r w:rsidRPr="007074ED">
        <w:rPr>
          <w:rFonts w:ascii="Cambria" w:hAnsi="Cambria" w:cs="Times"/>
          <w:i/>
          <w:color w:val="000000"/>
          <w:sz w:val="26"/>
          <w:szCs w:val="26"/>
        </w:rPr>
        <w:t xml:space="preserve"> We expanded retrieval results including the experiments with Reciprocal Rank Fusion (RRF) of Dale-Chall Index Runs (indices 4-12) and the original runs (indices 1-3). These results confirm the superiority of using XGB rather than DCI in terms of understandability of the results retrieved.</w:t>
      </w:r>
    </w:p>
    <w:p w14:paraId="13792CE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eastAsia="en-GB"/>
        </w:rPr>
        <w:lastRenderedPageBreak/>
        <w:drawing>
          <wp:inline distT="0" distB="0" distL="0" distR="0" wp14:anchorId="459A5CAD" wp14:editId="4DE22187">
            <wp:extent cx="6483985" cy="480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3985" cy="4803140"/>
                    </a:xfrm>
                    <a:prstGeom prst="rect">
                      <a:avLst/>
                    </a:prstGeom>
                    <a:noFill/>
                    <a:ln>
                      <a:noFill/>
                    </a:ln>
                  </pic:spPr>
                </pic:pic>
              </a:graphicData>
            </a:graphic>
          </wp:inline>
        </w:drawing>
      </w:r>
    </w:p>
    <w:p w14:paraId="2ABD5152" w14:textId="6D3BB642" w:rsidR="006A2DB0" w:rsidRPr="007074ED" w:rsidRDefault="007074ED"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Table 2</w:t>
      </w:r>
      <w:r w:rsidR="006A2DB0" w:rsidRPr="007074ED">
        <w:rPr>
          <w:rFonts w:ascii="Cambria" w:hAnsi="Cambria" w:cs="Times"/>
          <w:b/>
          <w:i/>
          <w:color w:val="000000"/>
          <w:sz w:val="26"/>
          <w:szCs w:val="26"/>
        </w:rPr>
        <w:t>.</w:t>
      </w:r>
      <w:r w:rsidR="006A2DB0" w:rsidRPr="007074ED">
        <w:rPr>
          <w:rFonts w:ascii="Cambria" w:hAnsi="Cambria" w:cs="Times"/>
          <w:i/>
          <w:color w:val="000000"/>
          <w:sz w:val="26"/>
          <w:szCs w:val="26"/>
        </w:rPr>
        <w:t xml:space="preserve"> Results obtained by integrating understandability estimations within retrieval methods on CLEF 2015. Baseline runs are reported at table indices 1-3 (the index column is labelled Index). Re-ranking experiments are reported at indices 4-21. Fusion experiments are reported at indices 22-30. Learning to rank experiments are reported at indices 31-35. All measures were calculated up to rank n = 10. The highest result of each set of experiments is reported in bold face. </w:t>
      </w:r>
    </w:p>
    <w:p w14:paraId="60588FB7" w14:textId="77777777" w:rsidR="00A774D7" w:rsidRDefault="00F554E4">
      <w:pPr>
        <w:pStyle w:val="Heading1"/>
      </w:pPr>
      <w:bookmarkStart w:id="1" w:name="references"/>
      <w:bookmarkStart w:id="2" w:name="_GoBack"/>
      <w:bookmarkEnd w:id="1"/>
      <w:bookmarkEnd w:id="2"/>
      <w:r>
        <w:t>References</w:t>
      </w:r>
    </w:p>
    <w:p w14:paraId="7C8DF5BF" w14:textId="0092C7D0" w:rsidR="007E3B1F" w:rsidRPr="007074ED" w:rsidRDefault="007074ED" w:rsidP="007074ED">
      <w:pPr>
        <w:pStyle w:val="BodyText"/>
      </w:pPr>
      <w:r w:rsidRPr="007074ED">
        <w:t xml:space="preserve">[1]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38418" w14:textId="77777777" w:rsidR="00D930C4" w:rsidRDefault="00D930C4">
      <w:pPr>
        <w:spacing w:after="0"/>
      </w:pPr>
      <w:r>
        <w:separator/>
      </w:r>
    </w:p>
  </w:endnote>
  <w:endnote w:type="continuationSeparator" w:id="0">
    <w:p w14:paraId="7C264557" w14:textId="77777777" w:rsidR="00D930C4" w:rsidRDefault="00D930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B4A52" w14:textId="77777777" w:rsidR="00D930C4" w:rsidRDefault="00D930C4">
      <w:r>
        <w:separator/>
      </w:r>
    </w:p>
  </w:footnote>
  <w:footnote w:type="continuationSeparator" w:id="0">
    <w:p w14:paraId="09247D9E" w14:textId="77777777" w:rsidR="00D930C4" w:rsidRDefault="00D930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D6FCE"/>
    <w:rsid w:val="001311F7"/>
    <w:rsid w:val="0014067D"/>
    <w:rsid w:val="00162359"/>
    <w:rsid w:val="00175F02"/>
    <w:rsid w:val="00177B7C"/>
    <w:rsid w:val="001B6844"/>
    <w:rsid w:val="001D3860"/>
    <w:rsid w:val="001F6306"/>
    <w:rsid w:val="00212DA8"/>
    <w:rsid w:val="00221231"/>
    <w:rsid w:val="00265B24"/>
    <w:rsid w:val="00344576"/>
    <w:rsid w:val="00393717"/>
    <w:rsid w:val="003A1A7C"/>
    <w:rsid w:val="003A2D7A"/>
    <w:rsid w:val="00412EAC"/>
    <w:rsid w:val="00447841"/>
    <w:rsid w:val="004E25EC"/>
    <w:rsid w:val="004E29B3"/>
    <w:rsid w:val="004F5795"/>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6A2DB0"/>
    <w:rsid w:val="007074ED"/>
    <w:rsid w:val="00716AA4"/>
    <w:rsid w:val="00727493"/>
    <w:rsid w:val="00777E51"/>
    <w:rsid w:val="00784D58"/>
    <w:rsid w:val="007978F5"/>
    <w:rsid w:val="007E3B1F"/>
    <w:rsid w:val="008348FC"/>
    <w:rsid w:val="00834A40"/>
    <w:rsid w:val="00867DAD"/>
    <w:rsid w:val="008817FF"/>
    <w:rsid w:val="008A6936"/>
    <w:rsid w:val="008C1A3D"/>
    <w:rsid w:val="008C45E9"/>
    <w:rsid w:val="008D6863"/>
    <w:rsid w:val="008E3DB2"/>
    <w:rsid w:val="009237B3"/>
    <w:rsid w:val="00941CDE"/>
    <w:rsid w:val="009A0B0F"/>
    <w:rsid w:val="009C6B0B"/>
    <w:rsid w:val="00A4253F"/>
    <w:rsid w:val="00A774D7"/>
    <w:rsid w:val="00AA4CCE"/>
    <w:rsid w:val="00B2085B"/>
    <w:rsid w:val="00B86B75"/>
    <w:rsid w:val="00B921A1"/>
    <w:rsid w:val="00BB444B"/>
    <w:rsid w:val="00BC48D5"/>
    <w:rsid w:val="00C0342C"/>
    <w:rsid w:val="00C14E0C"/>
    <w:rsid w:val="00C1709B"/>
    <w:rsid w:val="00C20F46"/>
    <w:rsid w:val="00C36279"/>
    <w:rsid w:val="00C80CBF"/>
    <w:rsid w:val="00C81A75"/>
    <w:rsid w:val="00C86D03"/>
    <w:rsid w:val="00CD2375"/>
    <w:rsid w:val="00CF2679"/>
    <w:rsid w:val="00D504BD"/>
    <w:rsid w:val="00D75FB8"/>
    <w:rsid w:val="00D7765A"/>
    <w:rsid w:val="00D930C4"/>
    <w:rsid w:val="00D95443"/>
    <w:rsid w:val="00DD12B7"/>
    <w:rsid w:val="00DE3E2A"/>
    <w:rsid w:val="00E315A3"/>
    <w:rsid w:val="00E33FE8"/>
    <w:rsid w:val="00F05877"/>
    <w:rsid w:val="00F1563C"/>
    <w:rsid w:val="00F16BF1"/>
    <w:rsid w:val="00F36A3D"/>
    <w:rsid w:val="00F554E4"/>
    <w:rsid w:val="00F86BDF"/>
    <w:rsid w:val="00F91136"/>
    <w:rsid w:val="00FB7255"/>
    <w:rsid w:val="00FF569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978F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559</Words>
  <Characters>3190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jmir simplified</vt:lpstr>
    </vt:vector>
  </TitlesOfParts>
  <LinksUpToDate>false</LinksUpToDate>
  <CharactersWithSpaces>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Guido Zuccon</cp:lastModifiedBy>
  <cp:revision>74</cp:revision>
  <dcterms:created xsi:type="dcterms:W3CDTF">2018-04-25T04:33:00Z</dcterms:created>
  <dcterms:modified xsi:type="dcterms:W3CDTF">2018-04-25T06:03:00Z</dcterms:modified>
</cp:coreProperties>
</file>