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pdf" ContentType="application/pdf"/>
  <Override PartName="/word/media/rId27.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Mobilizing</w:t>
      </w:r>
      <w:r>
        <w:t xml:space="preserve"> </w:t>
      </w:r>
      <w:r>
        <w:t xml:space="preserve">Justice:</w:t>
      </w:r>
      <w:r>
        <w:t xml:space="preserve"> </w:t>
      </w:r>
      <w:r>
        <w:t xml:space="preserve">Montreal</w:t>
      </w:r>
      <w:r>
        <w:t xml:space="preserve"> </w:t>
      </w:r>
      <w:r>
        <w:t xml:space="preserve">Fair</w:t>
      </w:r>
      <w:r>
        <w:t xml:space="preserve"> </w:t>
      </w:r>
      <w:r>
        <w:t xml:space="preserve">Pass</w:t>
      </w:r>
      <w:r>
        <w:t xml:space="preserve"> </w:t>
      </w:r>
      <w:r>
        <w:t xml:space="preserve">Pilot</w:t>
      </w:r>
    </w:p>
    <w:p>
      <w:pPr>
        <w:pStyle w:val="Author"/>
      </w:pPr>
      <w:r>
        <w:t xml:space="preserve">João</w:t>
      </w:r>
      <w:r>
        <w:t xml:space="preserve"> </w:t>
      </w:r>
      <w:r>
        <w:t xml:space="preserve">Pedro</w:t>
      </w:r>
      <w:r>
        <w:t xml:space="preserve"> </w:t>
      </w:r>
      <w:r>
        <w:t xml:space="preserve">Figueira</w:t>
      </w:r>
      <w:r>
        <w:t xml:space="preserve"> </w:t>
      </w:r>
      <w:r>
        <w:t xml:space="preserve">Amorim</w:t>
      </w:r>
      <w:r>
        <w:t xml:space="preserve"> </w:t>
      </w:r>
      <w:r>
        <w:t xml:space="preserve">Parga</w:t>
      </w:r>
    </w:p>
    <w:p>
      <w:pPr>
        <w:pStyle w:val="Date"/>
      </w:pPr>
      <w:r>
        <w:t xml:space="preserve">This</w:t>
      </w:r>
      <w:r>
        <w:t xml:space="preserve"> </w:t>
      </w:r>
      <w:r>
        <w:t xml:space="preserve">version:</w:t>
      </w:r>
      <w:r>
        <w:t xml:space="preserve"> </w:t>
      </w:r>
      <w:r>
        <w:t xml:space="preserve">October</w:t>
      </w:r>
      <w:r>
        <w:t xml:space="preserve"> </w:t>
      </w:r>
      <w:r>
        <w:t xml:space="preserve">19,</w:t>
      </w:r>
      <w:r>
        <w:t xml:space="preserve"> </w:t>
      </w:r>
      <w:r>
        <w:t xml:space="preserve">2023</w:t>
      </w:r>
    </w:p>
    <w:p>
      <w:pPr>
        <w:pStyle w:val="Abstract"/>
      </w:pPr>
      <w:r>
        <w:t xml:space="preserve">This</w:t>
      </w:r>
      <w:r>
        <w:t xml:space="preserve"> </w:t>
      </w:r>
      <w:r>
        <w:t xml:space="preserve">report</w:t>
      </w:r>
      <w:r>
        <w:t xml:space="preserve"> </w:t>
      </w:r>
      <w:r>
        <w:t xml:space="preserve">overviews</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Montreal</w:t>
      </w:r>
      <w:r>
        <w:t xml:space="preserve"> </w:t>
      </w:r>
      <w:r>
        <w:t xml:space="preserve">Fair</w:t>
      </w:r>
      <w:r>
        <w:t xml:space="preserve"> </w:t>
      </w:r>
      <w:r>
        <w:t xml:space="preserve">Pass</w:t>
      </w:r>
      <w:r>
        <w:t xml:space="preserve"> </w:t>
      </w:r>
      <w:r>
        <w:t xml:space="preserve">Survey’s</w:t>
      </w:r>
      <w:r>
        <w:t xml:space="preserve"> </w:t>
      </w:r>
      <w:r>
        <w:t xml:space="preserve">data.</w:t>
      </w:r>
      <w:r>
        <w:t xml:space="preserve"> </w:t>
      </w:r>
      <w:r>
        <w:t xml:space="preserve">The</w:t>
      </w:r>
      <w:r>
        <w:t xml:space="preserve"> </w:t>
      </w:r>
      <w:r>
        <w:t xml:space="preserve">survey’s</w:t>
      </w:r>
      <w:r>
        <w:t xml:space="preserve"> </w:t>
      </w:r>
      <w:r>
        <w:t xml:space="preserve">spatial</w:t>
      </w:r>
      <w:r>
        <w:t xml:space="preserve"> </w:t>
      </w:r>
      <w:r>
        <w:t xml:space="preserve">representation</w:t>
      </w:r>
      <w:r>
        <w:t xml:space="preserve"> </w:t>
      </w:r>
      <w:r>
        <w:t xml:space="preserve">generally</w:t>
      </w:r>
      <w:r>
        <w:t xml:space="preserve"> </w:t>
      </w:r>
      <w:r>
        <w:t xml:space="preserve">coincides</w:t>
      </w:r>
      <w:r>
        <w:t xml:space="preserve"> </w:t>
      </w:r>
      <w:r>
        <w:t xml:space="preserve">with</w:t>
      </w:r>
      <w:r>
        <w:t xml:space="preserve"> </w:t>
      </w:r>
      <w:r>
        <w:t xml:space="preserve">areas</w:t>
      </w:r>
      <w:r>
        <w:t xml:space="preserve"> </w:t>
      </w:r>
      <w:r>
        <w:t xml:space="preserve">that</w:t>
      </w:r>
      <w:r>
        <w:t xml:space="preserve"> </w:t>
      </w:r>
      <w:r>
        <w:t xml:space="preserve">concentrate</w:t>
      </w:r>
      <w:r>
        <w:t xml:space="preserve"> </w:t>
      </w:r>
      <w:r>
        <w:t xml:space="preserve">populations</w:t>
      </w:r>
      <w:r>
        <w:t xml:space="preserve"> </w:t>
      </w:r>
      <w:r>
        <w:t xml:space="preserve">from</w:t>
      </w:r>
      <w:r>
        <w:t xml:space="preserve"> </w:t>
      </w:r>
      <w:r>
        <w:t xml:space="preserve">low-income</w:t>
      </w:r>
      <w:r>
        <w:t xml:space="preserve"> </w:t>
      </w:r>
      <w:r>
        <w:t xml:space="preserve">groups.</w:t>
      </w:r>
      <w:r>
        <w:t xml:space="preserve"> </w:t>
      </w:r>
      <w:r>
        <w:t xml:space="preserve">Individuals</w:t>
      </w:r>
      <w:r>
        <w:t xml:space="preserve"> </w:t>
      </w:r>
      <w:r>
        <w:t xml:space="preserve">from</w:t>
      </w:r>
      <w:r>
        <w:t xml:space="preserve"> </w:t>
      </w:r>
      <w:r>
        <w:t xml:space="preserve">low-income</w:t>
      </w:r>
      <w:r>
        <w:t xml:space="preserve"> </w:t>
      </w:r>
      <w:r>
        <w:t xml:space="preserve">households</w:t>
      </w:r>
      <w:r>
        <w:t xml:space="preserve"> </w:t>
      </w:r>
      <w:r>
        <w:t xml:space="preserve">appear</w:t>
      </w:r>
      <w:r>
        <w:t xml:space="preserve"> </w:t>
      </w:r>
      <w:r>
        <w:t xml:space="preserve">to</w:t>
      </w:r>
      <w:r>
        <w:t xml:space="preserve"> </w:t>
      </w:r>
      <w:r>
        <w:t xml:space="preserve">be</w:t>
      </w:r>
      <w:r>
        <w:t xml:space="preserve"> </w:t>
      </w:r>
      <w:r>
        <w:t xml:space="preserve">over-represented</w:t>
      </w:r>
      <w:r>
        <w:t xml:space="preserve"> </w:t>
      </w:r>
      <w:r>
        <w:t xml:space="preserve">in</w:t>
      </w:r>
      <w:r>
        <w:t xml:space="preserve"> </w:t>
      </w:r>
      <w:r>
        <w:t xml:space="preserve">the</w:t>
      </w:r>
      <w:r>
        <w:t xml:space="preserve"> </w:t>
      </w:r>
      <w:r>
        <w:t xml:space="preserve">survey</w:t>
      </w:r>
      <w:r>
        <w:t xml:space="preserve"> </w:t>
      </w:r>
      <w:r>
        <w:t xml:space="preserve">as</w:t>
      </w:r>
      <w:r>
        <w:t xml:space="preserve"> </w:t>
      </w:r>
      <w:r>
        <w:t xml:space="preserve">a</w:t>
      </w:r>
      <w:r>
        <w:t xml:space="preserve"> </w:t>
      </w:r>
      <w:r>
        <w:t xml:space="preserve">whole,</w:t>
      </w:r>
      <w:r>
        <w:t xml:space="preserve"> </w:t>
      </w:r>
      <w:r>
        <w:t xml:space="preserve">whereas</w:t>
      </w:r>
      <w:r>
        <w:t xml:space="preserve"> </w:t>
      </w:r>
      <w:r>
        <w:t xml:space="preserve">visible</w:t>
      </w:r>
      <w:r>
        <w:t xml:space="preserve"> </w:t>
      </w:r>
      <w:r>
        <w:t xml:space="preserve">minorities</w:t>
      </w:r>
      <w:r>
        <w:t xml:space="preserve"> </w:t>
      </w:r>
      <w:r>
        <w:t xml:space="preserve">appear</w:t>
      </w:r>
      <w:r>
        <w:t xml:space="preserve"> </w:t>
      </w:r>
      <w:r>
        <w:t xml:space="preserve">to</w:t>
      </w:r>
      <w:r>
        <w:t xml:space="preserve"> </w:t>
      </w:r>
      <w:r>
        <w:t xml:space="preserve">be</w:t>
      </w:r>
      <w:r>
        <w:t xml:space="preserve"> </w:t>
      </w:r>
      <w:r>
        <w:t xml:space="preserve">under-represented.</w:t>
      </w:r>
      <w:r>
        <w:t xml:space="preserve"> </w:t>
      </w:r>
      <w:r>
        <w:t xml:space="preserve">Other</w:t>
      </w:r>
      <w:r>
        <w:t xml:space="preserve"> </w:t>
      </w:r>
      <w:r>
        <w:t xml:space="preserve">demographics</w:t>
      </w:r>
      <w:r>
        <w:t xml:space="preserve"> </w:t>
      </w:r>
      <w:r>
        <w:t xml:space="preserve">(gender,</w:t>
      </w:r>
      <w:r>
        <w:t xml:space="preserve"> </w:t>
      </w:r>
      <w:r>
        <w:t xml:space="preserve">control</w:t>
      </w:r>
      <w:r>
        <w:t xml:space="preserve"> </w:t>
      </w:r>
      <w:r>
        <w:t xml:space="preserve">and</w:t>
      </w:r>
      <w:r>
        <w:t xml:space="preserve"> </w:t>
      </w:r>
      <w:r>
        <w:t xml:space="preserve">treatment)</w:t>
      </w:r>
      <w:r>
        <w:t xml:space="preserve"> </w:t>
      </w:r>
      <w:r>
        <w:t xml:space="preserve">showed</w:t>
      </w:r>
      <w:r>
        <w:t xml:space="preserve"> </w:t>
      </w:r>
      <w:r>
        <w:t xml:space="preserve">no</w:t>
      </w:r>
      <w:r>
        <w:t xml:space="preserve"> </w:t>
      </w:r>
      <w:r>
        <w:t xml:space="preserve">apparent</w:t>
      </w:r>
      <w:r>
        <w:t xml:space="preserve"> </w:t>
      </w:r>
      <w:r>
        <w:t xml:space="preserve">significant</w:t>
      </w:r>
      <w:r>
        <w:t xml:space="preserve"> </w:t>
      </w:r>
      <w:r>
        <w:t xml:space="preserve">difference</w:t>
      </w:r>
      <w:r>
        <w:t xml:space="preserve"> </w:t>
      </w:r>
      <w:r>
        <w:t xml:space="preserve">in</w:t>
      </w:r>
      <w:r>
        <w:t xml:space="preserve"> </w:t>
      </w:r>
      <w:r>
        <w:t xml:space="preserve">representation.</w:t>
      </w:r>
      <w:r>
        <w:t xml:space="preserve"> </w:t>
      </w:r>
      <w:r>
        <w:t xml:space="preserve">Cost</w:t>
      </w:r>
      <w:r>
        <w:t xml:space="preserve"> </w:t>
      </w:r>
      <w:r>
        <w:t xml:space="preserve">appear</w:t>
      </w:r>
      <w:r>
        <w:t xml:space="preserve"> </w:t>
      </w:r>
      <w:r>
        <w:t xml:space="preserve">to</w:t>
      </w:r>
      <w:r>
        <w:t xml:space="preserve"> </w:t>
      </w:r>
      <w:r>
        <w:t xml:space="preserve">be</w:t>
      </w:r>
      <w:r>
        <w:t xml:space="preserve"> </w:t>
      </w:r>
      <w:r>
        <w:t xml:space="preserve">a</w:t>
      </w:r>
      <w:r>
        <w:t xml:space="preserve"> </w:t>
      </w:r>
      <w:r>
        <w:t xml:space="preserve">transit</w:t>
      </w:r>
      <w:r>
        <w:t xml:space="preserve"> </w:t>
      </w:r>
      <w:r>
        <w:t xml:space="preserve">barrier</w:t>
      </w:r>
      <w:r>
        <w:t xml:space="preserve"> </w:t>
      </w:r>
      <w:r>
        <w:t xml:space="preserve">to</w:t>
      </w:r>
      <w:r>
        <w:t xml:space="preserve"> </w:t>
      </w:r>
      <w:r>
        <w:t xml:space="preserve">relatively</w:t>
      </w:r>
      <w:r>
        <w:t xml:space="preserve"> </w:t>
      </w:r>
      <w:r>
        <w:t xml:space="preserve">more</w:t>
      </w:r>
      <w:r>
        <w:t xml:space="preserve"> </w:t>
      </w:r>
      <w:r>
        <w:t xml:space="preserve">people</w:t>
      </w:r>
      <w:r>
        <w:t xml:space="preserve"> </w:t>
      </w:r>
      <w:r>
        <w:t xml:space="preserve">from</w:t>
      </w:r>
      <w:r>
        <w:t xml:space="preserve"> </w:t>
      </w:r>
      <w:r>
        <w:t xml:space="preserve">the</w:t>
      </w:r>
      <w:r>
        <w:t xml:space="preserve"> </w:t>
      </w:r>
      <w:r>
        <w:t xml:space="preserve">control</w:t>
      </w:r>
      <w:r>
        <w:t xml:space="preserve"> </w:t>
      </w:r>
      <w:r>
        <w:t xml:space="preserve">than</w:t>
      </w:r>
      <w:r>
        <w:t xml:space="preserve"> </w:t>
      </w:r>
      <w:r>
        <w:t xml:space="preserve">the</w:t>
      </w:r>
      <w:r>
        <w:t xml:space="preserve"> </w:t>
      </w:r>
      <w:r>
        <w:t xml:space="preserve">treatment</w:t>
      </w:r>
      <w:r>
        <w:t xml:space="preserve"> </w:t>
      </w:r>
      <w:r>
        <w:t xml:space="preserve">group.</w:t>
      </w:r>
      <w:r>
        <w:t xml:space="preserve"> </w:t>
      </w:r>
      <w:r>
        <w:t xml:space="preserve">Moreover,</w:t>
      </w:r>
      <w:r>
        <w:t xml:space="preserve"> </w:t>
      </w:r>
      <w:r>
        <w:t xml:space="preserve">satisfaction</w:t>
      </w:r>
      <w:r>
        <w:t xml:space="preserve"> </w:t>
      </w:r>
      <w:r>
        <w:t xml:space="preserve">levels</w:t>
      </w:r>
      <w:r>
        <w:t xml:space="preserve"> </w:t>
      </w:r>
      <w:r>
        <w:t xml:space="preserve">with</w:t>
      </w:r>
      <w:r>
        <w:t xml:space="preserve"> </w:t>
      </w:r>
      <w:r>
        <w:t xml:space="preserve">transit</w:t>
      </w:r>
      <w:r>
        <w:t xml:space="preserve"> </w:t>
      </w:r>
      <w:r>
        <w:t xml:space="preserve">use</w:t>
      </w:r>
      <w:r>
        <w:t xml:space="preserve"> </w:t>
      </w:r>
      <w:r>
        <w:t xml:space="preserve">and</w:t>
      </w:r>
      <w:r>
        <w:t xml:space="preserve"> </w:t>
      </w:r>
      <w:r>
        <w:t xml:space="preserve">activity</w:t>
      </w:r>
      <w:r>
        <w:t xml:space="preserve"> </w:t>
      </w:r>
      <w:r>
        <w:t xml:space="preserve">participation</w:t>
      </w:r>
      <w:r>
        <w:t xml:space="preserve"> </w:t>
      </w:r>
      <w:r>
        <w:t xml:space="preserve">are</w:t>
      </w:r>
      <w:r>
        <w:t xml:space="preserve"> </w:t>
      </w:r>
      <w:r>
        <w:t xml:space="preserve">relatively</w:t>
      </w:r>
      <w:r>
        <w:t xml:space="preserve"> </w:t>
      </w:r>
      <w:r>
        <w:t xml:space="preserve">higher</w:t>
      </w:r>
      <w:r>
        <w:t xml:space="preserve"> </w:t>
      </w:r>
      <w:r>
        <w:t xml:space="preserve">for</w:t>
      </w:r>
      <w:r>
        <w:t xml:space="preserve"> </w:t>
      </w:r>
      <w:r>
        <w:t xml:space="preserve">the</w:t>
      </w:r>
      <w:r>
        <w:t xml:space="preserve"> </w:t>
      </w:r>
      <w:r>
        <w:t xml:space="preserve">latter</w:t>
      </w:r>
      <w:r>
        <w:t xml:space="preserve"> </w:t>
      </w:r>
      <w:r>
        <w:t xml:space="preserve">than</w:t>
      </w:r>
      <w:r>
        <w:t xml:space="preserve"> </w:t>
      </w:r>
      <w:r>
        <w:t xml:space="preserve">the</w:t>
      </w:r>
      <w:r>
        <w:t xml:space="preserve"> </w:t>
      </w:r>
      <w:r>
        <w:t xml:space="preserve">former.</w:t>
      </w:r>
      <w:r>
        <w:t xml:space="preserve"> </w:t>
      </w:r>
      <w:r>
        <w:t xml:space="preserve">The</w:t>
      </w:r>
      <w:r>
        <w:t xml:space="preserve"> </w:t>
      </w:r>
      <w:r>
        <w:t xml:space="preserve">code</w:t>
      </w:r>
      <w:r>
        <w:t xml:space="preserve"> </w:t>
      </w:r>
      <w:r>
        <w:t xml:space="preserve">used</w:t>
      </w:r>
      <w:r>
        <w:t xml:space="preserve"> </w:t>
      </w:r>
      <w:r>
        <w:t xml:space="preserve">to</w:t>
      </w:r>
      <w:r>
        <w:t xml:space="preserve"> </w:t>
      </w:r>
      <w:r>
        <w:t xml:space="preserve">produce</w:t>
      </w:r>
      <w:r>
        <w:t xml:space="preserve"> </w:t>
      </w:r>
      <w:r>
        <w:t xml:space="preserve">this</w:t>
      </w:r>
      <w:r>
        <w:t xml:space="preserve"> </w:t>
      </w:r>
      <w:r>
        <w:t xml:space="preserve">report</w:t>
      </w:r>
      <w:r>
        <w:t xml:space="preserve"> </w:t>
      </w:r>
      <w:r>
        <w:t xml:space="preserve">is</w:t>
      </w:r>
      <w:r>
        <w:t xml:space="preserve"> </w:t>
      </w:r>
      <w:r>
        <w:t xml:space="preserve">found</w:t>
      </w:r>
      <w:r>
        <w:t xml:space="preserve"> </w:t>
      </w:r>
      <w:r>
        <w:t xml:space="preserve">on</w:t>
      </w:r>
      <w:r>
        <w:t xml:space="preserve"> </w:t>
      </w:r>
      <w:r>
        <w:t xml:space="preserve">the</w:t>
      </w:r>
      <w:r>
        <w:t xml:space="preserve"> </w:t>
      </w:r>
      <w:r>
        <w:t xml:space="preserve">project’s</w:t>
      </w:r>
      <w:r>
        <w:t xml:space="preserve"> </w:t>
      </w:r>
      <w:hyperlink r:id="rId20">
        <w:r>
          <w:rPr>
            <w:rStyle w:val="Hyperlink"/>
          </w:rPr>
          <w:t xml:space="preserve">github</w:t>
        </w:r>
        <w:r>
          <w:rPr>
            <w:rStyle w:val="Hyperlink"/>
          </w:rPr>
          <w:t xml:space="preserve"> </w:t>
        </w:r>
        <w:r>
          <w:rPr>
            <w:rStyle w:val="Hyperlink"/>
          </w:rPr>
          <w:t xml:space="preserve">repository</w:t>
        </w:r>
      </w:hyperlink>
      <w:r>
        <w:t xml:space="preserve">.</w:t>
      </w:r>
    </w:p>
    <w:bookmarkStart w:id="21" w:name="initial-information"/>
    <w:p>
      <w:pPr>
        <w:pStyle w:val="Heading1"/>
      </w:pPr>
      <w:r>
        <w:t xml:space="preserve">1. Initial information</w:t>
      </w:r>
    </w:p>
    <w:p>
      <w:pPr>
        <w:pStyle w:val="FirstParagraph"/>
      </w:pPr>
      <w:r>
        <w:t xml:space="preserve">The original raw dataset contained 1970 respondents, of which we were able to geocode 1692 observations.</w:t>
      </w:r>
      <w:r>
        <w:t xml:space="preserve"> </w:t>
      </w:r>
      <w:r>
        <w:t xml:space="preserve">2 of them declared their residential location outside a 250 meter buffer around the island of Montreal (Census Division code equals to 2466), leaving us with 1690 respondents within the borders of the island and, therefore, in the final dataset.</w:t>
      </w:r>
    </w:p>
    <w:bookmarkEnd w:id="21"/>
    <w:bookmarkStart w:id="34" w:name="sec-spatial"/>
    <w:p>
      <w:pPr>
        <w:pStyle w:val="Heading1"/>
      </w:pPr>
      <w:r>
        <w:t xml:space="preserve">2. Survey’s representation</w:t>
      </w:r>
    </w:p>
    <w:bookmarkStart w:id="26" w:name="demographics"/>
    <w:p>
      <w:pPr>
        <w:pStyle w:val="Heading2"/>
      </w:pPr>
      <w:r>
        <w:t xml:space="preserve">2.1 Demographics</w:t>
      </w:r>
    </w:p>
    <w:p>
      <w:pPr>
        <w:pStyle w:val="FirstParagraph"/>
      </w:pPr>
      <w:r>
        <w:t xml:space="preserve">The plot below shows comparisons of the survey’s representation according to selected demographics.</w:t>
      </w:r>
      <w:r>
        <w:t xml:space="preserve"> </w:t>
      </w:r>
      <w:r>
        <w:t xml:space="preserve">Categories where the</w:t>
      </w:r>
      <w:r>
        <w:t xml:space="preserve"> </w:t>
      </w:r>
      <w:r>
        <w:t xml:space="preserve">red dot</w:t>
      </w:r>
      <w:r>
        <w:t xml:space="preserve"> </w:t>
      </w:r>
      <w:r>
        <w:t xml:space="preserve">is on the right mean under-representation of the survey (i.e., the census’ relative population of a given group is greater than the survey’s), while categories where the blue dot is on the right equal over-representation of the survey (i.e., the survey’s relative population of a given group is greater than the census’).</w:t>
      </w:r>
      <w:r>
        <w:t xml:space="preserve"> </w:t>
      </w:r>
      <w:r>
        <w:t xml:space="preserve">The survey, then, over-represents for women, the control group (50-64 years old), and people within the Low-income measure, and under-representation occurs for men, the treatment group (65 years or older), and visible minorities.</w:t>
      </w:r>
    </w:p>
    <w:p>
      <w:pPr>
        <w:pStyle w:val="BodyText"/>
      </w:pPr>
      <w:r>
        <w:t xml:space="preserve">Differences in representation appear to be insignificant for the most groups, with the notable exception of Low-income and Visible Minorities.</w:t>
      </w:r>
      <w:r>
        <w:t xml:space="preserve"> </w:t>
      </w:r>
      <w:r>
        <w:t xml:space="preserve">The former has a 13 p.p. over-representation, while the latter is under represented by 29 p.p..</w:t>
      </w:r>
      <w:r>
        <w:t xml:space="preserve"> </w:t>
      </w:r>
      <w:r>
        <w:t xml:space="preserve">These differences put into question MJ’s capacity to assess the policy’s effectiveness for visible minorities, given their under-representation on the survey.</w:t>
      </w:r>
      <w:r>
        <w:t xml:space="preserve"> </w:t>
      </w:r>
      <w:r>
        <w:t xml:space="preserve">This is an unfortunate situation, considering those are historically and structurally marginalized groups that suffer disproportionately with transport poverty and transport-related social exclusion, and that these groups would be target audiences for a policy that reduces the monetary burden of transportation such as the fare-free pass program.</w:t>
      </w:r>
    </w:p>
    <w:tbl>
      <w:tblPr>
        <w:tblStyle w:val="Table"/>
        <w:tblW w:type="pct" w:w="5000"/>
        <w:tblLook w:firstRow="0" w:lastRow="0" w:firstColumn="0" w:lastColumn="0" w:noHBand="0" w:noVBand="0" w:val="0000"/>
        <w:jc w:val="start"/>
      </w:tblPr>
      <w:tblGrid>
        <w:gridCol w:w="7920"/>
      </w:tblGrid>
      <w:tr>
        <w:tc>
          <w:tcPr/>
          <w:bookmarkStart w:id="25" w:name="fig-1-demographics-census-survey"/>
          <w:p>
            <w:pPr>
              <w:jc w:val="center"/>
            </w:pPr>
            <w:r>
              <w:drawing>
                <wp:inline>
                  <wp:extent cx="5943600" cy="4151085"/>
                  <wp:effectExtent b="0" l="0" r="0" t="0"/>
                  <wp:docPr descr="" title="" id="23" name="Picture"/>
                  <a:graphic>
                    <a:graphicData uri="http://schemas.openxmlformats.org/drawingml/2006/picture">
                      <pic:pic>
                        <pic:nvPicPr>
                          <pic:cNvPr descr="03_report_files/figure-docx/fig-1-demographics-census-survey-1.pdf" id="24" name="Picture"/>
                          <pic:cNvPicPr>
                            <a:picLocks noChangeArrowheads="1" noChangeAspect="1"/>
                          </pic:cNvPicPr>
                        </pic:nvPicPr>
                        <pic:blipFill>
                          <a:blip r:embed="rId22"/>
                          <a:stretch>
                            <a:fillRect/>
                          </a:stretch>
                        </pic:blipFill>
                        <pic:spPr bwMode="auto">
                          <a:xfrm>
                            <a:off x="0" y="0"/>
                            <a:ext cx="5943600" cy="41510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respondents by Source and Demographics</w:t>
            </w:r>
          </w:p>
          <w:bookmarkEnd w:id="25"/>
        </w:tc>
      </w:tr>
    </w:tbl>
    <w:bookmarkEnd w:id="26"/>
    <w:bookmarkStart w:id="33" w:name="spatial"/>
    <w:p>
      <w:pPr>
        <w:pStyle w:val="Heading2"/>
      </w:pPr>
      <w:r>
        <w:t xml:space="preserve">2.2 Spatial</w:t>
      </w:r>
    </w:p>
    <w:p>
      <w:pPr>
        <w:pStyle w:val="FirstParagraph"/>
      </w:pPr>
      <w:r>
        <w:t xml:space="preserve">The two maps below give an overview of the spatial representation of survey.</w:t>
      </w:r>
      <w:r>
        <w:t xml:space="preserve"> </w:t>
      </w:r>
      <w:r>
        <w:t xml:space="preserve">The map on the left shows how the relative participation of the population below the Low Income Measure is spatially distributed in the Island of Montreal according to the 2021 Census.</w:t>
      </w:r>
      <w:r>
        <w:t xml:space="preserve"> </w:t>
      </w:r>
      <w:r>
        <w:t xml:space="preserve">It seems clear that this group, which constitutes part of the target audience of the fare-free policy, are spatially concentrated on the eastern and northern parts of the island.</w:t>
      </w:r>
      <w:r>
        <w:t xml:space="preserve"> </w:t>
      </w:r>
      <w:r>
        <w:t xml:space="preserve">The map on the right complements the former, showing the under and over-representation of the survey against the population over 50 years old according to the census.</w:t>
      </w:r>
      <w:r>
        <w:t xml:space="preserve"> </w:t>
      </w:r>
      <w:r>
        <w:t xml:space="preserve">The survey’s over-representation appears to be located on the regions that concentrate groups from low-income households, while under-representation occurs on less-populated and regions with low participation of the equity deserving groups from an income’s perspective.</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28" name="Picture"/>
                        <a:graphic>
                          <a:graphicData uri="http://schemas.openxmlformats.org/drawingml/2006/picture">
                            <pic:pic>
                              <pic:nvPicPr>
                                <pic:cNvPr descr="03_report_files/figure-docx/map-1-under-over-fsa-1.pdf" id="29" name="Picture"/>
                                <pic:cNvPicPr>
                                  <a:picLocks noChangeArrowheads="1" noChangeAspect="1"/>
                                </pic:cNvPicPr>
                              </pic:nvPicPr>
                              <pic:blipFill>
                                <a:blip r:embed="rId27"/>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Population in LIM (Census)</w:t>
                  </w:r>
                </w:p>
              </w:tc>
            </w:tr>
          </w:tbl>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31" name="Picture"/>
                        <a:graphic>
                          <a:graphicData uri="http://schemas.openxmlformats.org/drawingml/2006/picture">
                            <pic:pic>
                              <pic:nvPicPr>
                                <pic:cNvPr descr="03_report_files/figure-docx/map-1-under-over-fsa-2.pdf"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Under/over-representation ratio of survey respondents vs. population over 50</w:t>
                  </w:r>
                </w:p>
              </w:tc>
            </w:tr>
          </w:tbl>
          <w:p/>
        </w:tc>
      </w:tr>
    </w:tbl>
    <w:bookmarkEnd w:id="33"/>
    <w:bookmarkEnd w:id="34"/>
    <w:bookmarkStart w:id="39" w:name="descriptive-analysis"/>
    <w:p>
      <w:pPr>
        <w:pStyle w:val="Heading1"/>
      </w:pPr>
      <w:r>
        <w:t xml:space="preserve">3. Descriptive analysis</w:t>
      </w:r>
    </w:p>
    <w:bookmarkStart w:id="35" w:name="who-took-the-survey"/>
    <w:p>
      <w:pPr>
        <w:pStyle w:val="Heading2"/>
      </w:pPr>
      <w:r>
        <w:t xml:space="preserve">3.1 Who took the survey?</w:t>
      </w:r>
    </w:p>
    <w:p>
      <w:pPr>
        <w:pStyle w:val="FirstParagraph"/>
      </w:pPr>
      <w:r>
        <w:t xml:space="preserve">This subsection contains a general description of who took the first wave of the survey, according the descriptive statistics of some selected socio-demographics presented in the table below.</w:t>
      </w:r>
    </w:p>
    <w:p>
      <w:pPr>
        <w:pStyle w:val="BodyText"/>
      </w:pPr>
      <w:r>
        <w:t xml:space="preserve">Non-visible minority correspond the majority (90%) of the survey’s respondents, and immigrants represented less than 20% of the total respondents.</w:t>
      </w:r>
      <w:r>
        <w:t xml:space="preserve"> </w:t>
      </w:r>
      <w:r>
        <w:t xml:space="preserve">These relative proportions might hinder the Pilot’s capacity to evaluate the policy’s impacts on these marginalized communities.</w:t>
      </w:r>
      <w:r>
        <w:t xml:space="preserve"> </w:t>
      </w:r>
      <w:r>
        <w:t xml:space="preserve">Representation of women and men appeared to be fairly equal, but non-binary or other gender identities are severely under-represented.</w:t>
      </w:r>
      <w:r>
        <w:t xml:space="preserve"> </w:t>
      </w:r>
      <w:r>
        <w:t xml:space="preserve">Control (50 to 64 years old) and treatment (65 years and over) are also similarly represented.</w:t>
      </w:r>
      <w:r>
        <w:t xml:space="preserve"> </w:t>
      </w:r>
      <w:r>
        <w:t xml:space="preserve">Additionally, almost 90% of the respondents were between the ages of 50 and 74 years old, which means that investigations on the policy’s effects on older stratifications of the population might be challenging as well.</w:t>
      </w:r>
      <w:r>
        <w:t xml:space="preserve"> </w:t>
      </w:r>
      <w:r>
        <w:t xml:space="preserve">364 (22%) of the individuals declared having at least a permanent functional limitation (which includes hearing or visual impairments, language or speech disorder, mobility limitations that requires the use of wheelchairs, to name a few).</w:t>
      </w:r>
      <w:r>
        <w:t xml:space="preserve"> </w:t>
      </w:r>
      <w:r>
        <w:t xml:space="preserve">Moreover, almost 8% (126) of the respondents declared having a mobility limitation, which are most commonly associated with transportation barriers and challenges regarding accessibility.</w:t>
      </w:r>
    </w:p>
    <w:p>
      <w:pPr>
        <w:pStyle w:val="BodyText"/>
      </w:pPr>
      <w:r>
        <w:t xml:space="preserve">The majority of them had at least one level of post-secondary education (College or trade, school, CEGEP, Bachelor, Master or Doctorate degrees).</w:t>
      </w:r>
      <w:r>
        <w:t xml:space="preserve"> </w:t>
      </w:r>
      <w:r>
        <w:t xml:space="preserve">More than half of the survey’s respondents declared being retired, and 40% of them declared being employed (either part or full-time).</w:t>
      </w:r>
      <w:r>
        <w:t xml:space="preserve"> </w:t>
      </w:r>
      <w:r>
        <w:t xml:space="preserve">Regarding income and the income distribution, one third of the respondents could be classified within the Low Income measure (LIM).</w:t>
      </w:r>
      <w:r>
        <w:t xml:space="preserve"> </w:t>
      </w:r>
      <w:r>
        <w:t xml:space="preserve">These populations are theoretical targets of the policy, which works in favor of the survey’s representation.</w:t>
      </w:r>
      <w:r>
        <w:t xml:space="preserve"> </w:t>
      </w:r>
      <w:r>
        <w:t xml:space="preserve">Almost half of the individuals lived in a single-person household.</w:t>
      </w:r>
      <w:r>
        <w:t xml:space="preserve"> </w:t>
      </w:r>
      <w:r>
        <w:t xml:space="preserve">Finally, almost 60% of the respondents declared having a vehicle in their households, while 40% of them did not have access to cars.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30"/>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1,493 (90%)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(8.8%)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NA origins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 (82%)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(18%)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 (55%)</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 (45%)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 and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 (50-64)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 (54%)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Treatment (65-over)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 (46%)</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(25%)</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 (20%)</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(16%)</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(15%)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(13%)</w:t>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(7.5%)</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(3.2%)</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(0.5%)</w:t>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90 and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(0.2%)</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mobility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 (92%)</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(7.6%)</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functional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 (78%)</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(22%)</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post-education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 (82%)</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(18%)</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 (53%)</w:t>
            </w:r>
          </w:p>
        </w:tc>
      </w:tr>
      <w:tr>
        <w:trPr>
          <w:trHeight w:val="618"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 (31%)</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(9.0%)</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(4.1%)</w:t>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(2.6%)</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6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LIM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988 (67%)</w:t>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(33%)</w:t>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573"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Lone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 (55%)</w:t>
            </w:r>
          </w:p>
        </w:tc>
      </w:tr>
      <w:tr>
        <w:trPr>
          <w:trHeight w:val="61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 (45%)</w:t>
            </w:r>
          </w:p>
        </w:tc>
      </w:tr>
      <w:tr>
        <w:trPr>
          <w:trHeight w:val="6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3"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Vehicle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 (59%)</w:t>
            </w:r>
          </w:p>
        </w:tc>
      </w:tr>
      <w:tr>
        <w:trPr>
          <w:trHeight w:val="61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(41%)</w:t>
            </w:r>
          </w:p>
        </w:tc>
      </w:tr>
      <w:tr>
        <w:trPr>
          <w:trHeight w:val="617" w:hRule="auto"/>
        </w:trPr>
        body59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5"/>
    <w:bookmarkStart w:id="38" w:name="what-is-their-travel-behavior"/>
    <w:p>
      <w:pPr>
        <w:pStyle w:val="Heading2"/>
      </w:pPr>
      <w:r>
        <w:t xml:space="preserve">3.2 What is their travel behavior?</w:t>
      </w:r>
    </w:p>
    <w:bookmarkStart w:id="36" w:name="Xcc45d93df2900776499a34ecb69ce6d0f36e66e"/>
    <w:p>
      <w:pPr>
        <w:pStyle w:val="Heading3"/>
      </w:pPr>
      <w:r>
        <w:t xml:space="preserve">3.2.1 Transit use, cost barriers, and suppressed demand</w:t>
      </w:r>
    </w:p>
    <w:p>
      <w:pPr>
        <w:pStyle w:val="FirstParagraph"/>
      </w:pPr>
      <w:r>
        <w:t xml:space="preserve">The table below displays the cross-tabulations with respondents’ travel behavior by their age groups, i.e., over 65 years old (Treatment) and between 50 and 64 years old (Control).</w:t>
      </w:r>
      <w:r>
        <w:t xml:space="preserve"> </w:t>
      </w:r>
      <w:r>
        <w:t xml:space="preserve">70% of the individuals over 65 years old have the Free 65+ fare loaded into their Opus card.</w:t>
      </w:r>
      <w:r>
        <w:t xml:space="preserve"> </w:t>
      </w:r>
      <w:r>
        <w:t xml:space="preserve">The relative percentage of people that declared riding transit as much as they liked was higher in the treatment group (73%) than in the control (66%).</w:t>
      </w:r>
      <w:r>
        <w:t xml:space="preserve"> </w:t>
      </w:r>
      <w:r>
        <w:t xml:space="preserve">Nonetheless, 85% of the treatment group said that the cost of transit has prevented them from taking a trip using public transit, against 66% of the control.</w:t>
      </w:r>
      <w:r>
        <w:t xml:space="preserve"> </w:t>
      </w:r>
      <w:r>
        <w:t xml:space="preserve">Additionally, the former group reported a higher percentage (73%) of respondents that declared having difficulty meeting transport expenses when compared to the control (52%).</w:t>
      </w:r>
      <w:r>
        <w:t xml:space="preserve"> </w:t>
      </w:r>
      <w:r>
        <w:t xml:space="preserve">These results deserve further investigation: is suppressed demand an issue disproportionately affecting people that do not have access to the fare-free program?</w:t>
      </w:r>
      <w:r>
        <w:t xml:space="preserve"> </w:t>
      </w:r>
      <w:r>
        <w:t xml:space="preserve">And how will these results change after some time after the implementation of the fare-free policy?</w:t>
      </w:r>
    </w:p>
    <w:p>
      <w:pPr>
        <w:pStyle w:val="BodyText"/>
      </w:pPr>
      <w:r>
        <w:t xml:space="preserve">Regarding suppressed transit demand because of transit costs, control and treatment behavior are fairly similar.</w:t>
      </w:r>
      <w:r>
        <w:t xml:space="preserve"> </w:t>
      </w:r>
      <w:r>
        <w:t xml:space="preserve">Active modes of transportation are the most common form of replacement for those who reported not taking a transit trip because of transit cost - more than 40% for both control and treatment.</w:t>
      </w:r>
      <w:r>
        <w:t xml:space="preserve"> </w:t>
      </w:r>
      <w:r>
        <w:t xml:space="preserve">Not taking the trip at all is the second most common option, followed by using the car for the alternative trip mode.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37"/>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Free Pass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(70%)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(30%)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Rides Transit As Would Like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1,158 (69%)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Cost Prevented Transit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1,242 (75%)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(25%)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Difficulty Transport Expenses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(62%)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 (26%)</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 Alterantive 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(44%)</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(6.0%)</w:t>
            </w:r>
          </w:p>
        </w:tc>
      </w:tr>
      <w:tr>
        <w:trPr>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6"/>
    <w:bookmarkStart w:id="37" w:name="transit-and-activity-satisfaction"/>
    <w:p>
      <w:pPr>
        <w:pStyle w:val="Heading3"/>
      </w:pPr>
      <w:r>
        <w:t xml:space="preserve">3.2.2 Transit and activity satisfaction</w:t>
      </w:r>
    </w:p>
    <w:p>
      <w:pPr>
        <w:pStyle w:val="FirstParagraph"/>
      </w:pPr>
      <w:r>
        <w:t xml:space="preserve">Finally, the table below displays satisfaction levels on transit and activity participation.</w:t>
      </w:r>
      <w:r>
        <w:t xml:space="preserve"> </w:t>
      </w:r>
      <w:r>
        <w:t xml:space="preserve">Those in the treatment groups display higher proportions of satisfaction levels than those in the control groups all across the categories.</w:t>
      </w:r>
      <w:r>
        <w:t xml:space="preserve"> </w:t>
      </w:r>
      <w:r>
        <w:rPr>
          <w:iCs/>
          <w:i/>
        </w:rPr>
        <w:t xml:space="preserve">Satisfaction Activity Participation</w:t>
      </w:r>
      <w:r>
        <w:t xml:space="preserve"> </w:t>
      </w:r>
      <w:r>
        <w:t xml:space="preserve">representes a general level of satisfaction with activity participation and was created using Satisfaction Community Events, Satisfaction Recreation, and Satisfaction Seeing Friends Family: reporting any level of dissatisfaction with at least one of those three variables meant being dissatisfied with activity participation.</w:t>
      </w:r>
      <w:r>
        <w:t xml:space="preserve"> </w:t>
      </w:r>
      <w:r>
        <w:t xml:space="preserve">There is an almost 12 p.p. difference in the proportion of individuals who declared being satisfied with their activity participation between seniors above 65 years old and those in the 50-64 group.</w:t>
      </w:r>
      <w:r>
        <w:t xml:space="preserve"> </w:t>
      </w:r>
      <w:r>
        <w:t xml:space="preserve">Investigation of the behavior of these variables after the data collection of the second wave of the pilot is complete will give us great insight into the effects of the policy of fare-free for older adults.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98"/>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 Transit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 (58%)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(20%)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Community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(70%)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(18%)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(13%)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Recreation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1,118 (70%)</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(14%)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62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Seeing Friends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 (70%)</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(16%)</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(13%)</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Activity Participation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 (52%)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 (24%)</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(23%)</w:t>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Finally, it is important to note two things.</w:t>
      </w:r>
      <w:r>
        <w:t xml:space="preserve"> </w:t>
      </w:r>
      <w:r>
        <w:t xml:space="preserve">First, these types of cross-tabulations can be made for other groups as well, such as LIM, Gender, Mobility Limitations, etc.</w:t>
      </w:r>
      <w:r>
        <w:t xml:space="preserve"> </w:t>
      </w:r>
      <w:r>
        <w:t xml:space="preserve">Second, other variables were created during the coding of the dataset, which can give us insights into other aspects of travel behavior, such as most common trip modes, destinations, number of trips, to name a few.</w:t>
      </w:r>
      <w:r>
        <w:t xml:space="preserve"> </w:t>
      </w:r>
      <w:r>
        <w:t xml:space="preserve">These were not included here due to time and space limitations.</w:t>
      </w:r>
    </w:p>
    <w:bookmarkEnd w:id="37"/>
    <w:bookmarkEnd w:id="38"/>
    <w:bookmarkEnd w:id="39"/>
    <w:sectPr w:rsidR="00424F41" w:rsidRPr="00125712" w:rsidSect="009477CB">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029133"/>
      <w:docPartObj>
        <w:docPartGallery w:val="Page Numbers (Bottom of Page)"/>
        <w:docPartUnique/>
      </w:docPartObj>
    </w:sdtPr>
    <w:sdtContent>
      <w:p w14:paraId="42E6B324" w14:textId="0A09742C"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4E8E0" w14:textId="77777777" w:rsidR="0027050E" w:rsidRDefault="0027050E" w:rsidP="00270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228955"/>
      <w:docPartObj>
        <w:docPartGallery w:val="Page Numbers (Bottom of Page)"/>
        <w:docPartUnique/>
      </w:docPartObj>
    </w:sdtPr>
    <w:sdtContent>
      <w:p w14:paraId="36880004" w14:textId="084CCDFD"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1EF43" w14:textId="72DC7E06" w:rsidR="00706344" w:rsidRPr="00706344" w:rsidRDefault="00706344" w:rsidP="0027050E">
    <w:pPr>
      <w:pStyle w:val="Footer"/>
      <w:ind w:right="360"/>
      <w:jc w:val="center"/>
      <w:rPr>
        <w:color w:val="262626" w:themeColor="text1" w:themeTint="D9"/>
      </w:rPr>
    </w:pPr>
    <w:r w:rsidRPr="00706344">
      <w:rPr>
        <w:color w:val="262626" w:themeColor="text1" w:themeTint="D9"/>
      </w:rPr>
      <w:t>João Pedro F. A. Parga – Mobilizing Justice</w:t>
    </w:r>
    <w:r w:rsidR="00B04303">
      <w:rPr>
        <w:color w:val="262626" w:themeColor="text1" w:themeTint="D9"/>
      </w:rPr>
      <w:t>’s</w:t>
    </w:r>
    <w:r w:rsidRPr="00706344">
      <w:rPr>
        <w:color w:val="262626" w:themeColor="text1" w:themeTint="D9"/>
      </w:rPr>
      <w:t xml:space="preserve"> Fare-Free Pilot Report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C4CC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939757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5712"/>
    <w:pPr>
      <w:spacing w:after="120" w:before="120" w:line="360" w:lineRule="auto"/>
      <w:jc w:val="both"/>
    </w:pPr>
    <w:rPr>
      <w:rFonts w:ascii="Arial" w:hAnsi="Arial"/>
    </w:rPr>
  </w:style>
  <w:style w:styleId="Heading1" w:type="paragraph">
    <w:name w:val="heading 1"/>
    <w:basedOn w:val="Normal"/>
    <w:next w:val="BodyText"/>
    <w:uiPriority w:val="9"/>
    <w:qFormat/>
    <w:rsid w:val="0012571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12571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2571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12571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25712"/>
  </w:style>
  <w:style w:customStyle="1" w:styleId="FirstParagraph" w:type="paragraph">
    <w:name w:val="First Paragraph"/>
    <w:basedOn w:val="BodyText"/>
    <w:next w:val="BodyText"/>
    <w:qFormat/>
    <w:rsid w:val="00125712"/>
  </w:style>
  <w:style w:customStyle="1" w:styleId="Compact" w:type="paragraph">
    <w:name w:val="Compact"/>
    <w:basedOn w:val="BodyText"/>
    <w:qFormat/>
    <w:pPr>
      <w:spacing w:after="36" w:before="36"/>
    </w:pPr>
  </w:style>
  <w:style w:styleId="Title" w:type="paragraph">
    <w:name w:val="Title"/>
    <w:basedOn w:val="Normal"/>
    <w:next w:val="BodyText"/>
    <w:qFormat/>
    <w:rsid w:val="00125712"/>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86724"/>
    <w:pPr>
      <w:keepNext/>
      <w:keepLines/>
      <w:jc w:val="center"/>
    </w:pPr>
    <w:rPr>
      <w:rFonts w:ascii="Arial" w:hAnsi="Arial"/>
      <w:sz w:val="22"/>
    </w:rPr>
  </w:style>
  <w:style w:styleId="Date" w:type="paragraph">
    <w:name w:val="Date"/>
    <w:next w:val="BodyText"/>
    <w:qFormat/>
    <w:rsid w:val="00386724"/>
    <w:pPr>
      <w:keepNext/>
      <w:keepLines/>
      <w:jc w:val="center"/>
    </w:pPr>
    <w:rPr>
      <w:rFonts w:ascii="Arial" w:hAnsi="Arial"/>
      <w:sz w:val="22"/>
    </w:rPr>
  </w:style>
  <w:style w:customStyle="1" w:styleId="Abstract" w:type="paragraph">
    <w:name w:val="Abstract"/>
    <w:basedOn w:val="Normal"/>
    <w:next w:val="BodyText"/>
    <w:qFormat/>
    <w:rsid w:val="00EC3D9D"/>
    <w:pPr>
      <w:keepNext/>
      <w:keepLines/>
      <w:spacing w:after="300" w:before="300"/>
    </w:pPr>
    <w:rPr>
      <w:i/>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25712"/>
    <w:pPr>
      <w:ind w:left="482" w:right="482"/>
    </w:pPr>
  </w:style>
  <w:style w:styleId="FootnoteText" w:type="paragraph">
    <w:name w:val="footnote text"/>
    <w:basedOn w:val="Normal"/>
    <w:uiPriority w:val="9"/>
    <w:unhideWhenUsed/>
    <w:qFormat/>
    <w:rsid w:val="00A4023E"/>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before="0"/>
    </w:pPr>
    <w:rPr>
      <w:i/>
    </w:rPr>
  </w:style>
  <w:style w:customStyle="1" w:styleId="TableCaption" w:type="paragraph">
    <w:name w:val="Table Caption"/>
    <w:basedOn w:val="Caption"/>
    <w:rsid w:val="00E079F6"/>
    <w:pPr>
      <w:keepNext/>
      <w:spacing w:line="240" w:lineRule="auto"/>
      <w:jc w:val="center"/>
    </w:pPr>
    <w:rPr>
      <w:sz w:val="20"/>
    </w:rPr>
  </w:style>
  <w:style w:customStyle="1" w:styleId="ImageCaption" w:type="paragraph">
    <w:name w:val="Image Caption"/>
    <w:basedOn w:val="Caption"/>
    <w:rsid w:val="00E079F6"/>
    <w:pPr>
      <w:spacing w:line="240" w:lineRule="auto"/>
      <w:jc w:val="center"/>
    </w:pPr>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E5569"/>
    <w:rPr>
      <w:rFonts w:ascii="Arial" w:hAnsi="Arial"/>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E5569"/>
    <w:rPr>
      <w:rFonts w:ascii="Arial" w:hAnsi="Arial"/>
      <w:color w:val="0C6286"/>
      <w:sz w:val="24"/>
      <w:u w:val="single"/>
    </w:rPr>
  </w:style>
  <w:style w:styleId="TOCHeading" w:type="paragraph">
    <w:name w:val="TOC Heading"/>
    <w:basedOn w:val="Heading1"/>
    <w:next w:val="BodyText"/>
    <w:uiPriority w:val="39"/>
    <w:unhideWhenUsed/>
    <w:qFormat/>
    <w:rsid w:val="00A831B9"/>
    <w:pPr>
      <w:spacing w:before="240" w:line="259" w:lineRule="auto"/>
      <w:outlineLvl w:val="9"/>
    </w:pPr>
    <w:rPr>
      <w:bCs w:val="0"/>
      <w:sz w:val="24"/>
    </w:rPr>
  </w:style>
  <w:style w:styleId="Header" w:type="paragraph">
    <w:name w:val="header"/>
    <w:basedOn w:val="Normal"/>
    <w:link w:val="HeaderChar"/>
    <w:rsid w:val="00706344"/>
    <w:pPr>
      <w:tabs>
        <w:tab w:pos="4680" w:val="center"/>
        <w:tab w:pos="9360" w:val="right"/>
      </w:tabs>
      <w:spacing w:after="0" w:before="0" w:line="240" w:lineRule="auto"/>
    </w:pPr>
  </w:style>
  <w:style w:customStyle="1" w:styleId="HeaderChar" w:type="character">
    <w:name w:val="Header Char"/>
    <w:basedOn w:val="DefaultParagraphFont"/>
    <w:link w:val="Header"/>
    <w:rsid w:val="00706344"/>
    <w:rPr>
      <w:rFonts w:ascii="Arial" w:hAnsi="Arial"/>
    </w:rPr>
  </w:style>
  <w:style w:styleId="Footer" w:type="paragraph">
    <w:name w:val="footer"/>
    <w:basedOn w:val="Normal"/>
    <w:link w:val="FooterChar"/>
    <w:rsid w:val="0027050E"/>
    <w:pPr>
      <w:tabs>
        <w:tab w:pos="4680" w:val="center"/>
        <w:tab w:pos="9360" w:val="right"/>
      </w:tabs>
      <w:spacing w:after="0" w:before="0" w:line="240" w:lineRule="auto"/>
    </w:pPr>
    <w:rPr>
      <w:sz w:val="22"/>
    </w:rPr>
  </w:style>
  <w:style w:customStyle="1" w:styleId="FooterChar" w:type="character">
    <w:name w:val="Footer Char"/>
    <w:basedOn w:val="DefaultParagraphFont"/>
    <w:link w:val="Footer"/>
    <w:rsid w:val="0027050E"/>
    <w:rPr>
      <w:rFonts w:ascii="Arial" w:hAnsi="Arial"/>
      <w:sz w:val="22"/>
    </w:rPr>
  </w:style>
  <w:style w:styleId="PageNumber" w:type="character">
    <w:name w:val="page number"/>
    <w:basedOn w:val="DefaultParagraphFont"/>
    <w:rsid w:val="0027050E"/>
    <w:rPr>
      <w:rFonts w:ascii="Arial" w:hAnsi="Arial"/>
      <w:sz w:val="22"/>
    </w:rPr>
  </w:style>
  <w:style w:styleId="FollowedHyperlink" w:type="character">
    <w:name w:val="FollowedHyperlink"/>
    <w:basedOn w:val="DefaultParagraphFont"/>
    <w:rsid w:val="004E5569"/>
    <w:rPr>
      <w:color w:themeColor="followedHyperlink" w:val="800080"/>
      <w:u w:val="single"/>
    </w:rPr>
  </w:style>
  <w:style w:styleId="TOC1" w:type="paragraph">
    <w:name w:val="toc 1"/>
    <w:basedOn w:val="Normal"/>
    <w:next w:val="Normal"/>
    <w:autoRedefine/>
    <w:rsid w:val="00A831B9"/>
    <w:pPr>
      <w:spacing w:after="10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pdf" /><Relationship Type="http://schemas.openxmlformats.org/officeDocument/2006/relationships/image" Id="rId27" Target="media/rId27.pdf" /><Relationship Type="http://schemas.openxmlformats.org/officeDocument/2006/relationships/image" Id="rId30" Target="media/rId30.pdf" /><Relationship Type="http://schemas.openxmlformats.org/officeDocument/2006/relationships/hyperlink" Id="rId20" Target="https://github.com/joaoparga/mj_fair_pas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oaoparga/mj_fair_p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344</Characters>
  <Application>Microsoft Office Word</Application>
  <DocSecurity>0</DocSecurity>
  <Lines>38</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Mobilizing Justice: Montreal Fair Pass Pilot</dc:title>
  <dc:creator>João Pedro Figueira Amorim Parga</dc:creator>
  <cp:keywords/>
  <dcterms:created xsi:type="dcterms:W3CDTF">2023-10-19T23:59:17Z</dcterms:created>
  <dcterms:modified xsi:type="dcterms:W3CDTF">2023-10-19T23:59:17Z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overviews the first wave of the Montreal Fair Pass Survey’s data. The survey’s spatial representation generally coincides with areas that concentrate populations from low-income groups. Individuals from low-income households appear to be over-represented in the survey as a whole, whereas visible minorities appear to be under-represented. Other demographics (gender, control and treatment) showed no apparent significant difference in representation. Cost appear to be a transit barrier to relatively more people from the control than the treatment group. Moreover, satisfaction levels with transit use and activity participation are relatively higher for the latter than the former. The code used to produce this report is found on the project’s github repository.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bib/zoterolibrary_updated_10_05_23.bib</vt:lpwstr>
  </property>
  <property fmtid="{D5CDD505-2E9C-101B-9397-08002B2CF9AE}" pid="7" name="by-affiliation">
    <vt:lpwstr/>
  </property>
  <property fmtid="{D5CDD505-2E9C-101B-9397-08002B2CF9AE}" pid="8" name="by-author">
    <vt:lpwstr/>
  </property>
  <property fmtid="{D5CDD505-2E9C-101B-9397-08002B2CF9AE}" pid="9" name="csl">
    <vt:lpwstr>csl/american-sociological-association.csl</vt:lpwstr>
  </property>
  <property fmtid="{D5CDD505-2E9C-101B-9397-08002B2CF9AE}" pid="10" name="date">
    <vt:lpwstr>This version: October 19, 2023</vt:lpwstr>
  </property>
  <property fmtid="{D5CDD505-2E9C-101B-9397-08002B2CF9AE}" pid="11" name="date-format">
    <vt:lpwstr>[This version:] MMMM D, YYYY</vt:lpwstr>
  </property>
  <property fmtid="{D5CDD505-2E9C-101B-9397-08002B2CF9AE}" pid="12" name="editor">
    <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bl-cap-location">
    <vt:lpwstr>top</vt:lpwstr>
  </property>
  <property fmtid="{D5CDD505-2E9C-101B-9397-08002B2CF9AE}" pid="19" name="toc-title">
    <vt:lpwstr>Table of contents</vt:lpwstr>
  </property>
</Properties>
</file>