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Projeto do carro seguidor de linha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-Introdução a Computação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-Curso: Engenharia da Computação 2019.2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-Alunos: Heitor Brayner, Vinícius Pereira, Vinícius Príncipe, João Pedro Barreto e Marcos Wanderson.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USO DOS ELEMENTOS EXTRAS: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-Para erguer o carrinho e facilitar a leitura do sensor óptico utilizamos dois bloquinhos de papel, deixando-o numa altura ideal para a leitura.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-Para equilibrar o carrinho utilizamos como peso uma carteira, e uma decoração com o símbolo do batman na frente do carrinho, facilitando a sustentação e a melhor leitura do sensor óptico.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-Como extra, ligamos duas led’s ao arduino, uma amarela e uma vermelha, simplesmente por motivos decorativos.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-As led’s foram conectadas através do 5 volts do arduino e do Gnd, mantendo-se sempre acesas.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