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8A7B5">
      <w:pPr>
        <w:spacing w:after="0" w:line="240" w:lineRule="auto"/>
        <w:jc w:val="center"/>
        <w:rPr>
          <w:rFonts w:ascii="Times New Roman" w:hAnsi="Times New Roman" w:eastAsia="Times New Roman" w:cs="Times New Roman"/>
          <w:sz w:val="24"/>
          <w:szCs w:val="24"/>
          <w:lang w:eastAsia="pt-BR"/>
        </w:rPr>
      </w:pPr>
      <w:r>
        <w:rPr>
          <w:rFonts w:ascii="Times New Roman" w:hAnsi="Times New Roman" w:eastAsia="Times New Roman" w:cs="Times New Roman"/>
          <w:sz w:val="24"/>
          <w:szCs w:val="24"/>
          <w:lang w:eastAsia="pt-BR"/>
        </w:rPr>
        <w:fldChar w:fldCharType="begin"/>
      </w:r>
      <w:r>
        <w:rPr>
          <w:rFonts w:ascii="Times New Roman" w:hAnsi="Times New Roman" w:eastAsia="Times New Roman" w:cs="Times New Roman"/>
          <w:sz w:val="24"/>
          <w:szCs w:val="24"/>
          <w:lang w:eastAsia="pt-BR"/>
        </w:rPr>
        <w:instrText xml:space="preserve"> INCLUDEPICTURE "https://ebac.art.br/local/templates/brazil/i/brazil_logo_black_port.png" \* MERGEFORMATINET </w:instrText>
      </w:r>
      <w:r>
        <w:rPr>
          <w:rFonts w:ascii="Times New Roman" w:hAnsi="Times New Roman" w:eastAsia="Times New Roman" w:cs="Times New Roman"/>
          <w:sz w:val="24"/>
          <w:szCs w:val="24"/>
          <w:lang w:eastAsia="pt-BR"/>
        </w:rPr>
        <w:fldChar w:fldCharType="separate"/>
      </w:r>
      <w:r>
        <w:rPr>
          <w:rFonts w:ascii="Times New Roman" w:hAnsi="Times New Roman" w:eastAsia="Times New Roman" w:cs="Times New Roman"/>
          <w:sz w:val="24"/>
          <w:szCs w:val="24"/>
          <w:lang w:eastAsia="pt-BR"/>
        </w:rPr>
        <w:drawing>
          <wp:inline distT="0" distB="0" distL="0" distR="0">
            <wp:extent cx="3058795" cy="1169670"/>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84923" cy="1179700"/>
                    </a:xfrm>
                    <a:prstGeom prst="rect">
                      <a:avLst/>
                    </a:prstGeom>
                    <a:noFill/>
                    <a:ln>
                      <a:noFill/>
                    </a:ln>
                  </pic:spPr>
                </pic:pic>
              </a:graphicData>
            </a:graphic>
          </wp:inline>
        </w:drawing>
      </w:r>
      <w:r>
        <w:rPr>
          <w:rFonts w:ascii="Times New Roman" w:hAnsi="Times New Roman" w:eastAsia="Times New Roman" w:cs="Times New Roman"/>
          <w:sz w:val="24"/>
          <w:szCs w:val="24"/>
          <w:lang w:eastAsia="pt-BR"/>
        </w:rPr>
        <w:fldChar w:fldCharType="end"/>
      </w:r>
    </w:p>
    <w:p w14:paraId="77ED577D">
      <w:pPr>
        <w:spacing w:after="0" w:line="240" w:lineRule="auto"/>
        <w:jc w:val="center"/>
        <w:rPr>
          <w:rFonts w:ascii="Times New Roman" w:hAnsi="Times New Roman" w:eastAsia="Times New Roman" w:cs="Times New Roman"/>
          <w:sz w:val="24"/>
          <w:szCs w:val="24"/>
          <w:lang w:eastAsia="pt-BR"/>
        </w:rPr>
      </w:pPr>
    </w:p>
    <w:p w14:paraId="757208AE">
      <w:pPr>
        <w:spacing w:after="0" w:line="240" w:lineRule="auto"/>
        <w:jc w:val="center"/>
        <w:rPr>
          <w:rFonts w:ascii="Times New Roman" w:hAnsi="Times New Roman" w:eastAsia="Times New Roman" w:cs="Times New Roman"/>
          <w:sz w:val="24"/>
          <w:szCs w:val="24"/>
          <w:lang w:eastAsia="pt-BR"/>
        </w:rPr>
      </w:pPr>
    </w:p>
    <w:p w14:paraId="3D391C01">
      <w:pPr>
        <w:spacing w:line="360" w:lineRule="auto"/>
        <w:jc w:val="center"/>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 xml:space="preserve"> QUALIDADE DE SOFTWARE</w:t>
      </w:r>
    </w:p>
    <w:p w14:paraId="52F41DD1">
      <w:pPr>
        <w:spacing w:line="360" w:lineRule="auto"/>
        <w:jc w:val="center"/>
        <w:rPr>
          <w:rFonts w:ascii="Arial" w:hAnsi="Arial" w:eastAsia="Arial" w:cs="Arial"/>
          <w:b/>
          <w:color w:val="000000" w:themeColor="text1"/>
          <w:sz w:val="24"/>
          <w:szCs w:val="24"/>
          <w14:textFill>
            <w14:solidFill>
              <w14:schemeClr w14:val="tx1"/>
            </w14:solidFill>
          </w14:textFill>
        </w:rPr>
      </w:pPr>
    </w:p>
    <w:p w14:paraId="7A28B164">
      <w:pPr>
        <w:spacing w:line="360" w:lineRule="auto"/>
        <w:jc w:val="center"/>
        <w:rPr>
          <w:rFonts w:ascii="Arial" w:hAnsi="Arial" w:eastAsia="Arial" w:cs="Arial"/>
          <w:color w:val="000000" w:themeColor="text1"/>
          <w:sz w:val="24"/>
          <w:szCs w:val="24"/>
          <w14:textFill>
            <w14:solidFill>
              <w14:schemeClr w14:val="tx1"/>
            </w14:solidFill>
          </w14:textFill>
        </w:rPr>
      </w:pPr>
    </w:p>
    <w:p w14:paraId="062A3AB3">
      <w:pPr>
        <w:spacing w:line="360" w:lineRule="auto"/>
        <w:jc w:val="center"/>
        <w:rPr>
          <w:rFonts w:ascii="Arial" w:hAnsi="Arial" w:eastAsia="Arial" w:cs="Arial"/>
          <w:color w:val="000000" w:themeColor="text1"/>
          <w:sz w:val="24"/>
          <w:szCs w:val="24"/>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João Pedro Camargo Elias</w:t>
      </w:r>
      <w:r>
        <w:rPr>
          <w:rFonts w:ascii="Arial" w:hAnsi="Arial" w:eastAsia="Arial" w:cs="Arial"/>
          <w:color w:val="000000" w:themeColor="text1"/>
          <w:sz w:val="24"/>
          <w:szCs w:val="24"/>
          <w14:textFill>
            <w14:solidFill>
              <w14:schemeClr w14:val="tx1"/>
            </w14:solidFill>
          </w14:textFill>
        </w:rPr>
        <w:t xml:space="preserve"> </w:t>
      </w:r>
    </w:p>
    <w:p w14:paraId="54935035">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Matrícula:</w:t>
      </w:r>
    </w:p>
    <w:p w14:paraId="4BB45ADA">
      <w:pPr>
        <w:spacing w:line="360" w:lineRule="auto"/>
        <w:jc w:val="both"/>
        <w:rPr>
          <w:rFonts w:ascii="Arial" w:hAnsi="Arial" w:eastAsia="Arial" w:cs="Arial"/>
          <w:color w:val="000000" w:themeColor="text1"/>
          <w:sz w:val="24"/>
          <w:szCs w:val="24"/>
          <w14:textFill>
            <w14:solidFill>
              <w14:schemeClr w14:val="tx1"/>
            </w14:solidFill>
          </w14:textFill>
        </w:rPr>
      </w:pPr>
    </w:p>
    <w:p w14:paraId="610E2EF1">
      <w:pPr>
        <w:spacing w:line="360" w:lineRule="auto"/>
        <w:jc w:val="both"/>
        <w:rPr>
          <w:rFonts w:ascii="Arial" w:hAnsi="Arial" w:eastAsia="Arial" w:cs="Arial"/>
          <w:color w:val="000000" w:themeColor="text1"/>
          <w:sz w:val="24"/>
          <w:szCs w:val="24"/>
          <w14:textFill>
            <w14:solidFill>
              <w14:schemeClr w14:val="tx1"/>
            </w14:solidFill>
          </w14:textFill>
        </w:rPr>
      </w:pPr>
    </w:p>
    <w:p w14:paraId="782BB3E8">
      <w:pPr>
        <w:spacing w:line="360" w:lineRule="auto"/>
        <w:jc w:val="both"/>
        <w:rPr>
          <w:rFonts w:ascii="Arial" w:hAnsi="Arial" w:eastAsia="Arial" w:cs="Arial"/>
          <w:color w:val="000000" w:themeColor="text1"/>
          <w:sz w:val="24"/>
          <w:szCs w:val="24"/>
          <w14:textFill>
            <w14:solidFill>
              <w14:schemeClr w14:val="tx1"/>
            </w14:solidFill>
          </w14:textFill>
        </w:rPr>
      </w:pPr>
    </w:p>
    <w:p w14:paraId="3FA1BBC0">
      <w:pPr>
        <w:spacing w:line="360" w:lineRule="auto"/>
        <w:jc w:val="both"/>
        <w:rPr>
          <w:rFonts w:ascii="Arial" w:hAnsi="Arial" w:eastAsia="Arial" w:cs="Arial"/>
          <w:color w:val="000000" w:themeColor="text1"/>
          <w:sz w:val="24"/>
          <w:szCs w:val="24"/>
          <w14:textFill>
            <w14:solidFill>
              <w14:schemeClr w14:val="tx1"/>
            </w14:solidFill>
          </w14:textFill>
        </w:rPr>
      </w:pPr>
    </w:p>
    <w:p w14:paraId="3AAC80F4">
      <w:pPr>
        <w:spacing w:line="360" w:lineRule="auto"/>
        <w:jc w:val="both"/>
        <w:rPr>
          <w:rFonts w:ascii="Arial" w:hAnsi="Arial" w:eastAsia="Arial" w:cs="Arial"/>
          <w:color w:val="000000" w:themeColor="text1"/>
          <w:sz w:val="24"/>
          <w:szCs w:val="24"/>
          <w14:textFill>
            <w14:solidFill>
              <w14:schemeClr w14:val="tx1"/>
            </w14:solidFill>
          </w14:textFill>
        </w:rPr>
      </w:pPr>
    </w:p>
    <w:p w14:paraId="06DBE012">
      <w:pPr>
        <w:spacing w:line="360" w:lineRule="auto"/>
        <w:jc w:val="both"/>
        <w:rPr>
          <w:rFonts w:ascii="Arial" w:hAnsi="Arial" w:eastAsia="Arial" w:cs="Arial"/>
          <w:color w:val="000000" w:themeColor="text1"/>
          <w:sz w:val="24"/>
          <w:szCs w:val="24"/>
          <w14:textFill>
            <w14:solidFill>
              <w14:schemeClr w14:val="tx1"/>
            </w14:solidFill>
          </w14:textFill>
        </w:rPr>
      </w:pPr>
    </w:p>
    <w:p w14:paraId="3C2FB455">
      <w:pPr>
        <w:spacing w:line="360" w:lineRule="auto"/>
        <w:jc w:val="both"/>
        <w:rPr>
          <w:rFonts w:ascii="Arial" w:hAnsi="Arial" w:eastAsia="Arial" w:cs="Arial"/>
          <w:color w:val="000000" w:themeColor="text1"/>
          <w:sz w:val="24"/>
          <w:szCs w:val="24"/>
          <w14:textFill>
            <w14:solidFill>
              <w14:schemeClr w14:val="tx1"/>
            </w14:solidFill>
          </w14:textFill>
        </w:rPr>
      </w:pPr>
    </w:p>
    <w:p w14:paraId="0D25F7A6">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Análise de Qualidade </w:t>
      </w:r>
    </w:p>
    <w:p w14:paraId="049A5BD2">
      <w:pPr>
        <w:spacing w:line="360" w:lineRule="auto"/>
        <w:jc w:val="both"/>
        <w:rPr>
          <w:rFonts w:ascii="Arial" w:hAnsi="Arial" w:eastAsia="Arial" w:cs="Arial"/>
          <w:color w:val="000000" w:themeColor="text1"/>
          <w:sz w:val="24"/>
          <w:szCs w:val="24"/>
          <w14:textFill>
            <w14:solidFill>
              <w14:schemeClr w14:val="tx1"/>
            </w14:solidFill>
          </w14:textFill>
        </w:rPr>
      </w:pPr>
    </w:p>
    <w:p w14:paraId="30C149D4">
      <w:pPr>
        <w:spacing w:line="360" w:lineRule="auto"/>
        <w:jc w:val="both"/>
        <w:rPr>
          <w:rFonts w:ascii="Arial" w:hAnsi="Arial" w:eastAsia="Arial" w:cs="Arial"/>
          <w:color w:val="000000" w:themeColor="text1"/>
          <w:sz w:val="24"/>
          <w:szCs w:val="24"/>
          <w14:textFill>
            <w14:solidFill>
              <w14:schemeClr w14:val="tx1"/>
            </w14:solidFill>
          </w14:textFill>
        </w:rPr>
      </w:pPr>
    </w:p>
    <w:p w14:paraId="76537A2F">
      <w:pPr>
        <w:spacing w:line="360" w:lineRule="auto"/>
        <w:jc w:val="both"/>
        <w:rPr>
          <w:rFonts w:ascii="Arial" w:hAnsi="Arial" w:eastAsia="Arial" w:cs="Arial"/>
          <w:color w:val="000000" w:themeColor="text1"/>
          <w:sz w:val="24"/>
          <w:szCs w:val="24"/>
          <w14:textFill>
            <w14:solidFill>
              <w14:schemeClr w14:val="tx1"/>
            </w14:solidFill>
          </w14:textFill>
        </w:rPr>
      </w:pPr>
    </w:p>
    <w:p w14:paraId="7B8354DF">
      <w:pPr>
        <w:spacing w:line="360" w:lineRule="auto"/>
        <w:jc w:val="both"/>
        <w:rPr>
          <w:rFonts w:ascii="Arial" w:hAnsi="Arial" w:eastAsia="Arial" w:cs="Arial"/>
          <w:color w:val="000000" w:themeColor="text1"/>
          <w:sz w:val="24"/>
          <w:szCs w:val="24"/>
          <w14:textFill>
            <w14:solidFill>
              <w14:schemeClr w14:val="tx1"/>
            </w14:solidFill>
          </w14:textFill>
        </w:rPr>
      </w:pPr>
    </w:p>
    <w:p w14:paraId="785BF102">
      <w:pPr>
        <w:spacing w:line="360" w:lineRule="auto"/>
        <w:jc w:val="both"/>
        <w:rPr>
          <w:rFonts w:ascii="Arial" w:hAnsi="Arial" w:eastAsia="Arial" w:cs="Arial"/>
          <w:color w:val="000000" w:themeColor="text1"/>
          <w:sz w:val="24"/>
          <w:szCs w:val="24"/>
          <w14:textFill>
            <w14:solidFill>
              <w14:schemeClr w14:val="tx1"/>
            </w14:solidFill>
          </w14:textFill>
        </w:rPr>
      </w:pPr>
    </w:p>
    <w:p w14:paraId="7A39DF9F">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Mairinque</w:t>
      </w:r>
    </w:p>
    <w:p w14:paraId="37C76095">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2026</w:t>
      </w:r>
    </w:p>
    <w:p w14:paraId="7EA1AE60">
      <w:pPr>
        <w:pStyle w:val="2"/>
      </w:pPr>
      <w:bookmarkStart w:id="0" w:name="_Toc73287557"/>
      <w:r>
        <w:t>RESUMO</w:t>
      </w:r>
      <w:bookmarkEnd w:id="0"/>
    </w:p>
    <w:p w14:paraId="1BAB866C">
      <w:pPr>
        <w:spacing w:line="360" w:lineRule="auto"/>
        <w:jc w:val="both"/>
        <w:rPr>
          <w:rFonts w:ascii="Arial" w:hAnsi="Arial" w:eastAsia="Arial" w:cs="Arial"/>
          <w:color w:val="000000" w:themeColor="text1"/>
          <w:sz w:val="24"/>
          <w:szCs w:val="24"/>
          <w14:textFill>
            <w14:solidFill>
              <w14:schemeClr w14:val="tx1"/>
            </w14:solidFill>
          </w14:textFill>
        </w:rPr>
      </w:pPr>
    </w:p>
    <w:p w14:paraId="152EB6FB">
      <w:pPr>
        <w:spacing w:line="360" w:lineRule="auto"/>
        <w:jc w:val="both"/>
        <w:rPr>
          <w:rFonts w:hint="default" w:ascii="Arial" w:hAnsi="Arial" w:eastAsia="Arial" w:cs="Arial"/>
          <w:color w:val="000000" w:themeColor="text1"/>
          <w:sz w:val="24"/>
          <w:szCs w:val="24"/>
          <w14:textFill>
            <w14:solidFill>
              <w14:schemeClr w14:val="tx1"/>
            </w14:solidFill>
          </w14:textFill>
        </w:rPr>
      </w:pPr>
      <w:r>
        <w:rPr>
          <w:rFonts w:hint="default" w:ascii="Arial" w:hAnsi="Arial" w:eastAsia="Arial" w:cs="Arial"/>
          <w:color w:val="000000" w:themeColor="text1"/>
          <w:sz w:val="24"/>
          <w:szCs w:val="24"/>
          <w14:textFill>
            <w14:solidFill>
              <w14:schemeClr w14:val="tx1"/>
            </w14:solidFill>
          </w14:textFill>
        </w:rPr>
        <w:t>Este trabalho apresenta uma análise do Game Castle, uma maleta/deck box produzida pela empresa Gamegenic, destinada ao armazenamento e transporte de cartas e acessórios utilizados em board games e jogos de cartas. O produto foi analisado considerando aspectos de material, construção, usabilidade, design e performance. A análise busca compreender como o produto atende às necessidades de seu público-alvo e como suas características contribuem para a organização, proteção e transporte dos itens utilizados durante as partidas. Também são observados seus pontos positivos e possíveis limitações, considerando sua proposta e finalidade. Dessa forma, o trabalho apresenta uma avaliação geral do Game Castle, relacionando suas características à experiência de uso e às necessidades dos consumidores desse nicho.</w:t>
      </w:r>
    </w:p>
    <w:p w14:paraId="62AA798D">
      <w:pPr>
        <w:spacing w:line="360" w:lineRule="auto"/>
        <w:jc w:val="both"/>
        <w:rPr>
          <w:rFonts w:ascii="Arial" w:hAnsi="Arial" w:eastAsia="Arial" w:cs="Arial"/>
          <w:color w:val="000000" w:themeColor="text1"/>
          <w:sz w:val="24"/>
          <w:szCs w:val="24"/>
          <w14:textFill>
            <w14:solidFill>
              <w14:schemeClr w14:val="tx1"/>
            </w14:solidFill>
          </w14:textFill>
        </w:rPr>
      </w:pPr>
      <w:bookmarkStart w:id="11" w:name="_GoBack"/>
      <w:bookmarkEnd w:id="11"/>
    </w:p>
    <w:p w14:paraId="4105F78E">
      <w:pPr>
        <w:jc w:val="both"/>
        <w:rPr>
          <w:rFonts w:ascii="Arial" w:hAnsi="Arial" w:eastAsia="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br w:type="page"/>
      </w:r>
    </w:p>
    <w:p w14:paraId="2499D2B8">
      <w:pPr>
        <w:pStyle w:val="2"/>
      </w:pPr>
      <w:bookmarkStart w:id="1" w:name="_Toc73287558"/>
      <w:r>
        <w:t>SUMÁRIO</w:t>
      </w:r>
      <w:bookmarkEnd w:id="1"/>
      <w:r>
        <w:fldChar w:fldCharType="begin"/>
      </w:r>
      <w:r>
        <w:instrText xml:space="preserve"> TOC \o "1-3" \h \z \u </w:instrText>
      </w:r>
      <w:r>
        <w:fldChar w:fldCharType="separate"/>
      </w:r>
    </w:p>
    <w:p w14:paraId="3C35A12E">
      <w:pPr>
        <w:pStyle w:val="20"/>
        <w:tabs>
          <w:tab w:val="left" w:pos="440"/>
          <w:tab w:val="right" w:leader="dot" w:pos="8494"/>
        </w:tabs>
        <w:rPr>
          <w:rFonts w:eastAsiaTheme="minorEastAsia"/>
          <w:b w:val="0"/>
          <w:bCs w:val="0"/>
          <w:i w:val="0"/>
          <w:iCs w:val="0"/>
          <w:lang w:eastAsia="pt-BR"/>
        </w:rPr>
      </w:pPr>
      <w:r>
        <w:fldChar w:fldCharType="begin"/>
      </w:r>
      <w:r>
        <w:instrText xml:space="preserve"> HYPERLINK \l "_Toc73287557" </w:instrText>
      </w:r>
      <w:r>
        <w:fldChar w:fldCharType="separate"/>
      </w:r>
      <w:r>
        <w:rPr>
          <w:rStyle w:val="8"/>
        </w:rPr>
        <w:t>1.</w:t>
      </w:r>
      <w:r>
        <w:rPr>
          <w:rFonts w:eastAsiaTheme="minorEastAsia"/>
          <w:b w:val="0"/>
          <w:bCs w:val="0"/>
          <w:i w:val="0"/>
          <w:iCs w:val="0"/>
          <w:lang w:eastAsia="pt-BR"/>
        </w:rPr>
        <w:tab/>
      </w:r>
      <w:r>
        <w:rPr>
          <w:rStyle w:val="8"/>
        </w:rPr>
        <w:t>RESUMO</w:t>
      </w:r>
      <w:r>
        <w:tab/>
      </w:r>
      <w:r>
        <w:fldChar w:fldCharType="begin"/>
      </w:r>
      <w:r>
        <w:instrText xml:space="preserve"> PAGEREF _Toc73287557 \h </w:instrText>
      </w:r>
      <w:r>
        <w:fldChar w:fldCharType="separate"/>
      </w:r>
      <w:r>
        <w:t>2</w:t>
      </w:r>
      <w:r>
        <w:fldChar w:fldCharType="end"/>
      </w:r>
      <w:r>
        <w:fldChar w:fldCharType="end"/>
      </w:r>
    </w:p>
    <w:p w14:paraId="70752E5C">
      <w:pPr>
        <w:pStyle w:val="20"/>
        <w:tabs>
          <w:tab w:val="left" w:pos="440"/>
          <w:tab w:val="right" w:leader="dot" w:pos="8494"/>
        </w:tabs>
        <w:rPr>
          <w:rFonts w:eastAsiaTheme="minorEastAsia"/>
          <w:b w:val="0"/>
          <w:bCs w:val="0"/>
          <w:i w:val="0"/>
          <w:iCs w:val="0"/>
          <w:lang w:eastAsia="pt-BR"/>
        </w:rPr>
      </w:pPr>
      <w:r>
        <w:fldChar w:fldCharType="begin"/>
      </w:r>
      <w:r>
        <w:instrText xml:space="preserve"> HYPERLINK \l "_Toc73287558" </w:instrText>
      </w:r>
      <w:r>
        <w:fldChar w:fldCharType="separate"/>
      </w:r>
      <w:r>
        <w:rPr>
          <w:rStyle w:val="8"/>
        </w:rPr>
        <w:t>2.</w:t>
      </w:r>
      <w:r>
        <w:rPr>
          <w:rFonts w:eastAsiaTheme="minorEastAsia"/>
          <w:b w:val="0"/>
          <w:bCs w:val="0"/>
          <w:i w:val="0"/>
          <w:iCs w:val="0"/>
          <w:lang w:eastAsia="pt-BR"/>
        </w:rPr>
        <w:tab/>
      </w:r>
      <w:r>
        <w:rPr>
          <w:rStyle w:val="8"/>
        </w:rPr>
        <w:t>SUMÁRIO</w:t>
      </w:r>
      <w:r>
        <w:tab/>
      </w:r>
      <w:r>
        <w:fldChar w:fldCharType="begin"/>
      </w:r>
      <w:r>
        <w:instrText xml:space="preserve"> PAGEREF _Toc73287558 \h </w:instrText>
      </w:r>
      <w:r>
        <w:fldChar w:fldCharType="separate"/>
      </w:r>
      <w:r>
        <w:t>3</w:t>
      </w:r>
      <w:r>
        <w:fldChar w:fldCharType="end"/>
      </w:r>
      <w:r>
        <w:fldChar w:fldCharType="end"/>
      </w:r>
    </w:p>
    <w:p w14:paraId="5A8078A8">
      <w:pPr>
        <w:pStyle w:val="20"/>
        <w:tabs>
          <w:tab w:val="left" w:pos="440"/>
          <w:tab w:val="right" w:leader="dot" w:pos="8494"/>
        </w:tabs>
        <w:rPr>
          <w:rFonts w:eastAsiaTheme="minorEastAsia"/>
          <w:b w:val="0"/>
          <w:bCs w:val="0"/>
          <w:i w:val="0"/>
          <w:iCs w:val="0"/>
          <w:lang w:eastAsia="pt-BR"/>
        </w:rPr>
      </w:pPr>
      <w:r>
        <w:fldChar w:fldCharType="begin"/>
      </w:r>
      <w:r>
        <w:instrText xml:space="preserve"> HYPERLINK \l "_Toc73287559" </w:instrText>
      </w:r>
      <w:r>
        <w:fldChar w:fldCharType="separate"/>
      </w:r>
      <w:r>
        <w:rPr>
          <w:rStyle w:val="8"/>
        </w:rPr>
        <w:t>3.</w:t>
      </w:r>
      <w:r>
        <w:rPr>
          <w:rFonts w:eastAsiaTheme="minorEastAsia"/>
          <w:b w:val="0"/>
          <w:bCs w:val="0"/>
          <w:i w:val="0"/>
          <w:iCs w:val="0"/>
          <w:lang w:eastAsia="pt-BR"/>
        </w:rPr>
        <w:tab/>
      </w:r>
      <w:r>
        <w:rPr>
          <w:rStyle w:val="8"/>
        </w:rPr>
        <w:t>INTRODUÇÃO</w:t>
      </w:r>
      <w:r>
        <w:tab/>
      </w:r>
      <w:r>
        <w:fldChar w:fldCharType="begin"/>
      </w:r>
      <w:r>
        <w:instrText xml:space="preserve"> PAGEREF _Toc73287559 \h </w:instrText>
      </w:r>
      <w:r>
        <w:fldChar w:fldCharType="separate"/>
      </w:r>
      <w:r>
        <w:t>4</w:t>
      </w:r>
      <w:r>
        <w:fldChar w:fldCharType="end"/>
      </w:r>
      <w:r>
        <w:fldChar w:fldCharType="end"/>
      </w:r>
    </w:p>
    <w:p w14:paraId="0DA19AFA">
      <w:pPr>
        <w:pStyle w:val="20"/>
        <w:tabs>
          <w:tab w:val="left" w:pos="440"/>
          <w:tab w:val="right" w:leader="dot" w:pos="8494"/>
        </w:tabs>
        <w:rPr>
          <w:rFonts w:eastAsiaTheme="minorEastAsia"/>
          <w:b w:val="0"/>
          <w:bCs w:val="0"/>
          <w:i w:val="0"/>
          <w:iCs w:val="0"/>
          <w:lang w:eastAsia="pt-BR"/>
        </w:rPr>
      </w:pPr>
      <w:r>
        <w:fldChar w:fldCharType="begin"/>
      </w:r>
      <w:r>
        <w:instrText xml:space="preserve"> HYPERLINK \l "_Toc73287560" </w:instrText>
      </w:r>
      <w:r>
        <w:fldChar w:fldCharType="separate"/>
      </w:r>
      <w:r>
        <w:rPr>
          <w:rStyle w:val="8"/>
        </w:rPr>
        <w:t>4.</w:t>
      </w:r>
      <w:r>
        <w:rPr>
          <w:rFonts w:eastAsiaTheme="minorEastAsia"/>
          <w:b w:val="0"/>
          <w:bCs w:val="0"/>
          <w:i w:val="0"/>
          <w:iCs w:val="0"/>
          <w:lang w:eastAsia="pt-BR"/>
        </w:rPr>
        <w:tab/>
      </w:r>
      <w:r>
        <w:rPr>
          <w:rStyle w:val="8"/>
        </w:rPr>
        <w:t>O PROJETO</w:t>
      </w:r>
      <w:r>
        <w:tab/>
      </w:r>
      <w:r>
        <w:fldChar w:fldCharType="begin"/>
      </w:r>
      <w:r>
        <w:instrText xml:space="preserve"> PAGEREF _Toc73287560 \h </w:instrText>
      </w:r>
      <w:r>
        <w:fldChar w:fldCharType="separate"/>
      </w:r>
      <w:r>
        <w:t>5</w:t>
      </w:r>
      <w:r>
        <w:fldChar w:fldCharType="end"/>
      </w:r>
      <w:r>
        <w:fldChar w:fldCharType="end"/>
      </w:r>
    </w:p>
    <w:p w14:paraId="0BC32969">
      <w:pPr>
        <w:pStyle w:val="9"/>
        <w:tabs>
          <w:tab w:val="left" w:pos="880"/>
          <w:tab w:val="right" w:leader="dot" w:pos="8494"/>
        </w:tabs>
        <w:rPr>
          <w:rFonts w:eastAsiaTheme="minorEastAsia"/>
          <w:b w:val="0"/>
          <w:bCs w:val="0"/>
          <w:sz w:val="24"/>
          <w:szCs w:val="24"/>
          <w:lang w:eastAsia="pt-BR"/>
        </w:rPr>
      </w:pPr>
      <w:r>
        <w:fldChar w:fldCharType="begin"/>
      </w:r>
      <w:r>
        <w:instrText xml:space="preserve"> HYPERLINK \l "_Toc73287561" </w:instrText>
      </w:r>
      <w:r>
        <w:fldChar w:fldCharType="separate"/>
      </w:r>
      <w:r>
        <w:rPr>
          <w:rStyle w:val="8"/>
        </w:rPr>
        <w:t>4.1</w:t>
      </w:r>
      <w:r>
        <w:rPr>
          <w:rFonts w:eastAsiaTheme="minorEastAsia"/>
          <w:b w:val="0"/>
          <w:bCs w:val="0"/>
          <w:sz w:val="24"/>
          <w:szCs w:val="24"/>
          <w:lang w:eastAsia="pt-BR"/>
        </w:rPr>
        <w:tab/>
      </w:r>
      <w:r>
        <w:rPr>
          <w:rStyle w:val="8"/>
        </w:rPr>
        <w:t>Detalhes do produto ou serviço</w:t>
      </w:r>
      <w:r>
        <w:tab/>
      </w:r>
      <w:r>
        <w:fldChar w:fldCharType="begin"/>
      </w:r>
      <w:r>
        <w:instrText xml:space="preserve"> PAGEREF _Toc73287561 \h </w:instrText>
      </w:r>
      <w:r>
        <w:fldChar w:fldCharType="separate"/>
      </w:r>
      <w:r>
        <w:t>5</w:t>
      </w:r>
      <w:r>
        <w:fldChar w:fldCharType="end"/>
      </w:r>
      <w:r>
        <w:fldChar w:fldCharType="end"/>
      </w:r>
    </w:p>
    <w:p w14:paraId="59186AA6">
      <w:pPr>
        <w:pStyle w:val="9"/>
        <w:tabs>
          <w:tab w:val="left" w:pos="880"/>
          <w:tab w:val="right" w:leader="dot" w:pos="8494"/>
        </w:tabs>
        <w:rPr>
          <w:rFonts w:eastAsiaTheme="minorEastAsia"/>
          <w:b w:val="0"/>
          <w:bCs w:val="0"/>
          <w:sz w:val="24"/>
          <w:szCs w:val="24"/>
          <w:lang w:eastAsia="pt-BR"/>
        </w:rPr>
      </w:pPr>
      <w:r>
        <w:fldChar w:fldCharType="begin"/>
      </w:r>
      <w:r>
        <w:instrText xml:space="preserve"> HYPERLINK \l "_Toc73287562" </w:instrText>
      </w:r>
      <w:r>
        <w:fldChar w:fldCharType="separate"/>
      </w:r>
      <w:r>
        <w:rPr>
          <w:rStyle w:val="8"/>
        </w:rPr>
        <w:t>4.2</w:t>
      </w:r>
      <w:r>
        <w:rPr>
          <w:rFonts w:eastAsiaTheme="minorEastAsia"/>
          <w:b w:val="0"/>
          <w:bCs w:val="0"/>
          <w:sz w:val="24"/>
          <w:szCs w:val="24"/>
          <w:lang w:eastAsia="pt-BR"/>
        </w:rPr>
        <w:tab/>
      </w:r>
      <w:r>
        <w:rPr>
          <w:rStyle w:val="8"/>
        </w:rPr>
        <w:t>Tabela de Análise</w:t>
      </w:r>
      <w:r>
        <w:tab/>
      </w:r>
      <w:r>
        <w:fldChar w:fldCharType="begin"/>
      </w:r>
      <w:r>
        <w:instrText xml:space="preserve"> PAGEREF _Toc73287562 \h </w:instrText>
      </w:r>
      <w:r>
        <w:fldChar w:fldCharType="separate"/>
      </w:r>
      <w:r>
        <w:t>5</w:t>
      </w:r>
      <w:r>
        <w:fldChar w:fldCharType="end"/>
      </w:r>
      <w:r>
        <w:fldChar w:fldCharType="end"/>
      </w:r>
    </w:p>
    <w:p w14:paraId="18C0436A">
      <w:pPr>
        <w:pStyle w:val="9"/>
        <w:tabs>
          <w:tab w:val="left" w:pos="880"/>
          <w:tab w:val="right" w:leader="dot" w:pos="8494"/>
        </w:tabs>
        <w:rPr>
          <w:rFonts w:eastAsiaTheme="minorEastAsia"/>
          <w:b w:val="0"/>
          <w:bCs w:val="0"/>
          <w:sz w:val="24"/>
          <w:szCs w:val="24"/>
          <w:lang w:eastAsia="pt-BR"/>
        </w:rPr>
      </w:pPr>
      <w:r>
        <w:fldChar w:fldCharType="begin"/>
      </w:r>
      <w:r>
        <w:instrText xml:space="preserve"> HYPERLINK \l "_Toc73287563" </w:instrText>
      </w:r>
      <w:r>
        <w:fldChar w:fldCharType="separate"/>
      </w:r>
      <w:r>
        <w:rPr>
          <w:rStyle w:val="8"/>
        </w:rPr>
        <w:t>4.3</w:t>
      </w:r>
      <w:r>
        <w:rPr>
          <w:rFonts w:eastAsiaTheme="minorEastAsia"/>
          <w:b w:val="0"/>
          <w:bCs w:val="0"/>
          <w:sz w:val="24"/>
          <w:szCs w:val="24"/>
          <w:lang w:eastAsia="pt-BR"/>
        </w:rPr>
        <w:tab/>
      </w:r>
      <w:r>
        <w:rPr>
          <w:rStyle w:val="8"/>
        </w:rPr>
        <w:t>Relatório</w:t>
      </w:r>
      <w:r>
        <w:tab/>
      </w:r>
      <w:r>
        <w:fldChar w:fldCharType="begin"/>
      </w:r>
      <w:r>
        <w:instrText xml:space="preserve"> PAGEREF _Toc73287563 \h </w:instrText>
      </w:r>
      <w:r>
        <w:fldChar w:fldCharType="separate"/>
      </w:r>
      <w:r>
        <w:t>6</w:t>
      </w:r>
      <w:r>
        <w:fldChar w:fldCharType="end"/>
      </w:r>
      <w:r>
        <w:fldChar w:fldCharType="end"/>
      </w:r>
    </w:p>
    <w:p w14:paraId="22E6FC92">
      <w:pPr>
        <w:pStyle w:val="9"/>
        <w:tabs>
          <w:tab w:val="left" w:pos="880"/>
          <w:tab w:val="right" w:leader="dot" w:pos="8494"/>
        </w:tabs>
        <w:rPr>
          <w:rFonts w:eastAsiaTheme="minorEastAsia"/>
          <w:b w:val="0"/>
          <w:bCs w:val="0"/>
          <w:sz w:val="24"/>
          <w:szCs w:val="24"/>
          <w:lang w:eastAsia="pt-BR"/>
        </w:rPr>
      </w:pPr>
      <w:r>
        <w:fldChar w:fldCharType="begin"/>
      </w:r>
      <w:r>
        <w:instrText xml:space="preserve"> HYPERLINK \l "_Toc73287564" </w:instrText>
      </w:r>
      <w:r>
        <w:fldChar w:fldCharType="separate"/>
      </w:r>
      <w:r>
        <w:rPr>
          <w:rStyle w:val="8"/>
        </w:rPr>
        <w:t>4.4</w:t>
      </w:r>
      <w:r>
        <w:rPr>
          <w:rFonts w:eastAsiaTheme="minorEastAsia"/>
          <w:b w:val="0"/>
          <w:bCs w:val="0"/>
          <w:sz w:val="24"/>
          <w:szCs w:val="24"/>
          <w:lang w:eastAsia="pt-BR"/>
        </w:rPr>
        <w:tab/>
      </w:r>
      <w:r>
        <w:rPr>
          <w:rStyle w:val="8"/>
        </w:rPr>
        <w:t>Evidências</w:t>
      </w:r>
      <w:r>
        <w:tab/>
      </w:r>
      <w:r>
        <w:fldChar w:fldCharType="begin"/>
      </w:r>
      <w:r>
        <w:instrText xml:space="preserve"> PAGEREF _Toc73287564 \h </w:instrText>
      </w:r>
      <w:r>
        <w:fldChar w:fldCharType="separate"/>
      </w:r>
      <w:r>
        <w:t>7</w:t>
      </w:r>
      <w:r>
        <w:fldChar w:fldCharType="end"/>
      </w:r>
      <w:r>
        <w:fldChar w:fldCharType="end"/>
      </w:r>
    </w:p>
    <w:p w14:paraId="12743652">
      <w:pPr>
        <w:pStyle w:val="9"/>
        <w:tabs>
          <w:tab w:val="left" w:pos="880"/>
          <w:tab w:val="right" w:leader="dot" w:pos="8494"/>
        </w:tabs>
        <w:rPr>
          <w:rFonts w:eastAsiaTheme="minorEastAsia"/>
          <w:b w:val="0"/>
          <w:bCs w:val="0"/>
          <w:sz w:val="24"/>
          <w:szCs w:val="24"/>
          <w:lang w:eastAsia="pt-BR"/>
        </w:rPr>
      </w:pPr>
      <w:r>
        <w:fldChar w:fldCharType="begin"/>
      </w:r>
      <w:r>
        <w:instrText xml:space="preserve"> HYPERLINK \l "_Toc73287565" </w:instrText>
      </w:r>
      <w:r>
        <w:fldChar w:fldCharType="separate"/>
      </w:r>
      <w:r>
        <w:rPr>
          <w:rStyle w:val="8"/>
        </w:rPr>
        <w:t>4.5</w:t>
      </w:r>
      <w:r>
        <w:rPr>
          <w:rFonts w:eastAsiaTheme="minorEastAsia"/>
          <w:b w:val="0"/>
          <w:bCs w:val="0"/>
          <w:sz w:val="24"/>
          <w:szCs w:val="24"/>
          <w:lang w:eastAsia="pt-BR"/>
        </w:rPr>
        <w:tab/>
      </w:r>
      <w:r>
        <w:rPr>
          <w:rStyle w:val="8"/>
        </w:rPr>
        <w:t>Onde encontrar</w:t>
      </w:r>
      <w:r>
        <w:tab/>
      </w:r>
      <w:r>
        <w:fldChar w:fldCharType="begin"/>
      </w:r>
      <w:r>
        <w:instrText xml:space="preserve"> PAGEREF _Toc73287565 \h </w:instrText>
      </w:r>
      <w:r>
        <w:fldChar w:fldCharType="separate"/>
      </w:r>
      <w:r>
        <w:t>8</w:t>
      </w:r>
      <w:r>
        <w:fldChar w:fldCharType="end"/>
      </w:r>
      <w:r>
        <w:fldChar w:fldCharType="end"/>
      </w:r>
    </w:p>
    <w:p w14:paraId="0F54B3FF">
      <w:pPr>
        <w:pStyle w:val="20"/>
        <w:tabs>
          <w:tab w:val="left" w:pos="440"/>
          <w:tab w:val="right" w:leader="dot" w:pos="8494"/>
        </w:tabs>
        <w:rPr>
          <w:rFonts w:eastAsiaTheme="minorEastAsia"/>
          <w:b w:val="0"/>
          <w:bCs w:val="0"/>
          <w:i w:val="0"/>
          <w:iCs w:val="0"/>
          <w:lang w:eastAsia="pt-BR"/>
        </w:rPr>
      </w:pPr>
      <w:r>
        <w:fldChar w:fldCharType="begin"/>
      </w:r>
      <w:r>
        <w:instrText xml:space="preserve"> HYPERLINK \l "_Toc73287566" </w:instrText>
      </w:r>
      <w:r>
        <w:fldChar w:fldCharType="separate"/>
      </w:r>
      <w:r>
        <w:rPr>
          <w:rStyle w:val="8"/>
        </w:rPr>
        <w:t>5.</w:t>
      </w:r>
      <w:r>
        <w:rPr>
          <w:rFonts w:eastAsiaTheme="minorEastAsia"/>
          <w:b w:val="0"/>
          <w:bCs w:val="0"/>
          <w:i w:val="0"/>
          <w:iCs w:val="0"/>
          <w:lang w:eastAsia="pt-BR"/>
        </w:rPr>
        <w:tab/>
      </w:r>
      <w:r>
        <w:rPr>
          <w:rStyle w:val="8"/>
        </w:rPr>
        <w:t>CONCLUSÃO</w:t>
      </w:r>
      <w:r>
        <w:tab/>
      </w:r>
      <w:r>
        <w:fldChar w:fldCharType="begin"/>
      </w:r>
      <w:r>
        <w:instrText xml:space="preserve"> PAGEREF _Toc73287566 \h </w:instrText>
      </w:r>
      <w:r>
        <w:fldChar w:fldCharType="separate"/>
      </w:r>
      <w:r>
        <w:t>8</w:t>
      </w:r>
      <w:r>
        <w:fldChar w:fldCharType="end"/>
      </w:r>
      <w:r>
        <w:fldChar w:fldCharType="end"/>
      </w:r>
    </w:p>
    <w:p w14:paraId="3F89E6B3">
      <w:pPr>
        <w:pStyle w:val="20"/>
        <w:tabs>
          <w:tab w:val="left" w:pos="440"/>
          <w:tab w:val="right" w:leader="dot" w:pos="8494"/>
        </w:tabs>
        <w:rPr>
          <w:rFonts w:eastAsiaTheme="minorEastAsia"/>
          <w:b w:val="0"/>
          <w:bCs w:val="0"/>
          <w:i w:val="0"/>
          <w:iCs w:val="0"/>
          <w:lang w:eastAsia="pt-BR"/>
        </w:rPr>
      </w:pPr>
      <w:r>
        <w:fldChar w:fldCharType="begin"/>
      </w:r>
      <w:r>
        <w:instrText xml:space="preserve"> HYPERLINK \l "_Toc73287567" </w:instrText>
      </w:r>
      <w:r>
        <w:fldChar w:fldCharType="separate"/>
      </w:r>
      <w:r>
        <w:rPr>
          <w:rStyle w:val="8"/>
        </w:rPr>
        <w:t>6.</w:t>
      </w:r>
      <w:r>
        <w:rPr>
          <w:rFonts w:eastAsiaTheme="minorEastAsia"/>
          <w:b w:val="0"/>
          <w:bCs w:val="0"/>
          <w:i w:val="0"/>
          <w:iCs w:val="0"/>
          <w:lang w:eastAsia="pt-BR"/>
        </w:rPr>
        <w:tab/>
      </w:r>
      <w:r>
        <w:rPr>
          <w:rStyle w:val="8"/>
        </w:rPr>
        <w:t>REFERÊNCIAS BIBLIOGRÁFICAS</w:t>
      </w:r>
      <w:r>
        <w:tab/>
      </w:r>
      <w:r>
        <w:fldChar w:fldCharType="begin"/>
      </w:r>
      <w:r>
        <w:instrText xml:space="preserve"> PAGEREF _Toc73287567 \h </w:instrText>
      </w:r>
      <w:r>
        <w:fldChar w:fldCharType="separate"/>
      </w:r>
      <w:r>
        <w:t>8</w:t>
      </w:r>
      <w:r>
        <w:fldChar w:fldCharType="end"/>
      </w:r>
      <w:r>
        <w:fldChar w:fldCharType="end"/>
      </w:r>
    </w:p>
    <w:p w14:paraId="3A97DCA9">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fldChar w:fldCharType="end"/>
      </w:r>
    </w:p>
    <w:p w14:paraId="64DF8940">
      <w:pPr>
        <w:spacing w:line="360" w:lineRule="auto"/>
        <w:jc w:val="both"/>
        <w:rPr>
          <w:rFonts w:ascii="Arial" w:hAnsi="Arial" w:eastAsia="Arial" w:cs="Arial"/>
          <w:color w:val="000000" w:themeColor="text1"/>
          <w:sz w:val="24"/>
          <w:szCs w:val="24"/>
          <w14:textFill>
            <w14:solidFill>
              <w14:schemeClr w14:val="tx1"/>
            </w14:solidFill>
          </w14:textFill>
        </w:rPr>
      </w:pPr>
    </w:p>
    <w:p w14:paraId="6EA15B1A">
      <w:pPr>
        <w:spacing w:line="360" w:lineRule="auto"/>
        <w:jc w:val="both"/>
        <w:rPr>
          <w:rFonts w:ascii="Arial" w:hAnsi="Arial" w:eastAsia="Arial" w:cs="Arial"/>
          <w:color w:val="000000" w:themeColor="text1"/>
          <w:sz w:val="24"/>
          <w:szCs w:val="24"/>
          <w14:textFill>
            <w14:solidFill>
              <w14:schemeClr w14:val="tx1"/>
            </w14:solidFill>
          </w14:textFill>
        </w:rPr>
      </w:pPr>
    </w:p>
    <w:p w14:paraId="3F30E224">
      <w:pPr>
        <w:spacing w:line="360" w:lineRule="auto"/>
        <w:jc w:val="both"/>
        <w:rPr>
          <w:rFonts w:ascii="Arial" w:hAnsi="Arial" w:eastAsia="Arial" w:cs="Arial"/>
          <w:color w:val="000000" w:themeColor="text1"/>
          <w:sz w:val="24"/>
          <w:szCs w:val="24"/>
          <w14:textFill>
            <w14:solidFill>
              <w14:schemeClr w14:val="tx1"/>
            </w14:solidFill>
          </w14:textFill>
        </w:rPr>
      </w:pPr>
    </w:p>
    <w:p w14:paraId="516055EB">
      <w:pPr>
        <w:spacing w:line="360" w:lineRule="auto"/>
        <w:jc w:val="both"/>
        <w:rPr>
          <w:rFonts w:ascii="Arial" w:hAnsi="Arial" w:eastAsia="Arial" w:cs="Arial"/>
          <w:color w:val="000000" w:themeColor="text1"/>
          <w:sz w:val="24"/>
          <w:szCs w:val="24"/>
          <w14:textFill>
            <w14:solidFill>
              <w14:schemeClr w14:val="tx1"/>
            </w14:solidFill>
          </w14:textFill>
        </w:rPr>
      </w:pPr>
    </w:p>
    <w:p w14:paraId="77CD0636">
      <w:pPr>
        <w:spacing w:line="360" w:lineRule="auto"/>
        <w:jc w:val="both"/>
        <w:rPr>
          <w:rFonts w:ascii="Arial" w:hAnsi="Arial" w:eastAsia="Arial" w:cs="Arial"/>
          <w:color w:val="000000" w:themeColor="text1"/>
          <w:sz w:val="24"/>
          <w:szCs w:val="24"/>
          <w14:textFill>
            <w14:solidFill>
              <w14:schemeClr w14:val="tx1"/>
            </w14:solidFill>
          </w14:textFill>
        </w:rPr>
      </w:pPr>
    </w:p>
    <w:p w14:paraId="0F7450C3">
      <w:pPr>
        <w:spacing w:line="360" w:lineRule="auto"/>
        <w:jc w:val="both"/>
        <w:rPr>
          <w:rFonts w:ascii="Arial" w:hAnsi="Arial" w:eastAsia="Arial" w:cs="Arial"/>
          <w:color w:val="000000" w:themeColor="text1"/>
          <w:sz w:val="24"/>
          <w:szCs w:val="24"/>
          <w14:textFill>
            <w14:solidFill>
              <w14:schemeClr w14:val="tx1"/>
            </w14:solidFill>
          </w14:textFill>
        </w:rPr>
      </w:pPr>
    </w:p>
    <w:p w14:paraId="7C4B0827">
      <w:pPr>
        <w:spacing w:line="360" w:lineRule="auto"/>
        <w:jc w:val="both"/>
        <w:rPr>
          <w:rFonts w:ascii="Arial" w:hAnsi="Arial" w:eastAsia="Arial" w:cs="Arial"/>
          <w:color w:val="000000" w:themeColor="text1"/>
          <w:sz w:val="24"/>
          <w:szCs w:val="24"/>
          <w14:textFill>
            <w14:solidFill>
              <w14:schemeClr w14:val="tx1"/>
            </w14:solidFill>
          </w14:textFill>
        </w:rPr>
      </w:pPr>
    </w:p>
    <w:p w14:paraId="6584ACAA">
      <w:pPr>
        <w:spacing w:line="360" w:lineRule="auto"/>
        <w:jc w:val="both"/>
        <w:rPr>
          <w:rFonts w:ascii="Arial" w:hAnsi="Arial" w:eastAsia="Arial" w:cs="Arial"/>
          <w:color w:val="000000" w:themeColor="text1"/>
          <w:sz w:val="24"/>
          <w:szCs w:val="24"/>
          <w14:textFill>
            <w14:solidFill>
              <w14:schemeClr w14:val="tx1"/>
            </w14:solidFill>
          </w14:textFill>
        </w:rPr>
      </w:pPr>
    </w:p>
    <w:p w14:paraId="2DE0D033">
      <w:pPr>
        <w:spacing w:line="360" w:lineRule="auto"/>
        <w:jc w:val="both"/>
        <w:rPr>
          <w:rFonts w:ascii="Arial" w:hAnsi="Arial" w:eastAsia="Arial" w:cs="Arial"/>
          <w:color w:val="000000" w:themeColor="text1"/>
          <w:sz w:val="24"/>
          <w:szCs w:val="24"/>
          <w14:textFill>
            <w14:solidFill>
              <w14:schemeClr w14:val="tx1"/>
            </w14:solidFill>
          </w14:textFill>
        </w:rPr>
      </w:pPr>
    </w:p>
    <w:p w14:paraId="249FF139">
      <w:pPr>
        <w:spacing w:line="360" w:lineRule="auto"/>
        <w:jc w:val="both"/>
        <w:rPr>
          <w:rFonts w:ascii="Arial" w:hAnsi="Arial" w:eastAsia="Arial" w:cs="Arial"/>
          <w:color w:val="000000" w:themeColor="text1"/>
          <w:sz w:val="24"/>
          <w:szCs w:val="24"/>
          <w14:textFill>
            <w14:solidFill>
              <w14:schemeClr w14:val="tx1"/>
            </w14:solidFill>
          </w14:textFill>
        </w:rPr>
      </w:pPr>
    </w:p>
    <w:p w14:paraId="26F5D021">
      <w:pPr>
        <w:spacing w:line="360" w:lineRule="auto"/>
        <w:jc w:val="both"/>
        <w:rPr>
          <w:rFonts w:ascii="Arial" w:hAnsi="Arial" w:eastAsia="Arial" w:cs="Arial"/>
          <w:color w:val="000000" w:themeColor="text1"/>
          <w:sz w:val="24"/>
          <w:szCs w:val="24"/>
          <w14:textFill>
            <w14:solidFill>
              <w14:schemeClr w14:val="tx1"/>
            </w14:solidFill>
          </w14:textFill>
        </w:rPr>
      </w:pPr>
    </w:p>
    <w:p w14:paraId="3F3E5336">
      <w:pPr>
        <w:spacing w:line="360" w:lineRule="auto"/>
        <w:jc w:val="both"/>
        <w:rPr>
          <w:rFonts w:ascii="Arial" w:hAnsi="Arial" w:eastAsia="Arial" w:cs="Arial"/>
          <w:color w:val="000000" w:themeColor="text1"/>
          <w:sz w:val="24"/>
          <w:szCs w:val="24"/>
          <w14:textFill>
            <w14:solidFill>
              <w14:schemeClr w14:val="tx1"/>
            </w14:solidFill>
          </w14:textFill>
        </w:rPr>
      </w:pPr>
    </w:p>
    <w:p w14:paraId="550B148F">
      <w:pPr>
        <w:spacing w:line="360" w:lineRule="auto"/>
        <w:jc w:val="both"/>
        <w:rPr>
          <w:rFonts w:ascii="Arial" w:hAnsi="Arial" w:eastAsia="Arial" w:cs="Arial"/>
          <w:color w:val="000000" w:themeColor="text1"/>
          <w:sz w:val="24"/>
          <w:szCs w:val="24"/>
          <w14:textFill>
            <w14:solidFill>
              <w14:schemeClr w14:val="tx1"/>
            </w14:solidFill>
          </w14:textFill>
        </w:rPr>
      </w:pPr>
    </w:p>
    <w:p w14:paraId="6E5973C9">
      <w:pPr>
        <w:spacing w:line="360" w:lineRule="auto"/>
        <w:jc w:val="both"/>
        <w:rPr>
          <w:rFonts w:ascii="Arial" w:hAnsi="Arial" w:eastAsia="Arial" w:cs="Arial"/>
          <w:color w:val="000000" w:themeColor="text1"/>
          <w:sz w:val="24"/>
          <w:szCs w:val="24"/>
          <w14:textFill>
            <w14:solidFill>
              <w14:schemeClr w14:val="tx1"/>
            </w14:solidFill>
          </w14:textFill>
        </w:rPr>
      </w:pPr>
    </w:p>
    <w:p w14:paraId="7ACE954D">
      <w:pPr>
        <w:pStyle w:val="2"/>
      </w:pPr>
      <w:bookmarkStart w:id="2" w:name="_Toc73287559"/>
      <w:r>
        <w:t>INTRODUÇÃO</w:t>
      </w:r>
      <w:bookmarkEnd w:id="2"/>
    </w:p>
    <w:p w14:paraId="08CD3684">
      <w:pPr>
        <w:spacing w:line="360" w:lineRule="auto"/>
        <w:jc w:val="both"/>
        <w:rPr>
          <w:rFonts w:ascii="Arial" w:hAnsi="Arial" w:eastAsia="Arial" w:cs="Arial"/>
          <w:color w:val="000000" w:themeColor="text1"/>
          <w:sz w:val="24"/>
          <w:szCs w:val="24"/>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O Hobby de board game e cards tem se mostrado um nicho muito resiliente e constante durante as décadas, nos últimos veem se popularizando ainda mais com o a entrada de grandes franquias da cultura Pop nesse mercado, com isso em mente esse relatório traz a análise de um dos itens muito utilizados dos consumidores desse nicho uma maleta/deck box especificamente o modelo Game Castle produzido pela empresa GameGenic na qual tem a proposta de armazenar cards e acessórios de maneira a facilitar a locomoção de tais objetos. Neste relatório estaremos analisando aspectos de material, construção, usabilidade, design e performance do produto.</w:t>
      </w:r>
    </w:p>
    <w:p w14:paraId="6169C610">
      <w:pPr>
        <w:spacing w:line="360" w:lineRule="auto"/>
        <w:jc w:val="both"/>
        <w:rPr>
          <w:rFonts w:ascii="Arial" w:hAnsi="Arial" w:eastAsia="Arial" w:cs="Arial"/>
          <w:color w:val="000000" w:themeColor="text1"/>
          <w:sz w:val="24"/>
          <w:szCs w:val="24"/>
          <w14:textFill>
            <w14:solidFill>
              <w14:schemeClr w14:val="tx1"/>
            </w14:solidFill>
          </w14:textFill>
        </w:rPr>
      </w:pPr>
    </w:p>
    <w:p w14:paraId="04D8FC94">
      <w:pPr>
        <w:spacing w:line="360" w:lineRule="auto"/>
        <w:jc w:val="both"/>
        <w:rPr>
          <w:rFonts w:ascii="Arial" w:hAnsi="Arial" w:eastAsia="Arial" w:cs="Arial"/>
          <w:color w:val="000000" w:themeColor="text1"/>
          <w:sz w:val="24"/>
          <w:szCs w:val="24"/>
          <w14:textFill>
            <w14:solidFill>
              <w14:schemeClr w14:val="tx1"/>
            </w14:solidFill>
          </w14:textFill>
        </w:rPr>
      </w:pPr>
    </w:p>
    <w:p w14:paraId="297D6A98">
      <w:pPr>
        <w:spacing w:line="360" w:lineRule="auto"/>
        <w:jc w:val="both"/>
        <w:rPr>
          <w:rFonts w:ascii="Arial" w:hAnsi="Arial" w:eastAsia="Arial" w:cs="Arial"/>
          <w:color w:val="000000" w:themeColor="text1"/>
          <w:sz w:val="24"/>
          <w:szCs w:val="24"/>
          <w14:textFill>
            <w14:solidFill>
              <w14:schemeClr w14:val="tx1"/>
            </w14:solidFill>
          </w14:textFill>
        </w:rPr>
      </w:pPr>
    </w:p>
    <w:p w14:paraId="7CE97E6F">
      <w:pPr>
        <w:spacing w:line="360" w:lineRule="auto"/>
        <w:jc w:val="both"/>
        <w:rPr>
          <w:rFonts w:ascii="Arial" w:hAnsi="Arial" w:eastAsia="Arial" w:cs="Arial"/>
          <w:color w:val="000000" w:themeColor="text1"/>
          <w:sz w:val="24"/>
          <w:szCs w:val="24"/>
          <w14:textFill>
            <w14:solidFill>
              <w14:schemeClr w14:val="tx1"/>
            </w14:solidFill>
          </w14:textFill>
        </w:rPr>
      </w:pPr>
    </w:p>
    <w:p w14:paraId="52E60DCE">
      <w:pPr>
        <w:spacing w:line="360" w:lineRule="auto"/>
        <w:jc w:val="both"/>
        <w:rPr>
          <w:rFonts w:ascii="Arial" w:hAnsi="Arial" w:eastAsia="Arial" w:cs="Arial"/>
          <w:color w:val="000000" w:themeColor="text1"/>
          <w:sz w:val="24"/>
          <w:szCs w:val="24"/>
          <w14:textFill>
            <w14:solidFill>
              <w14:schemeClr w14:val="tx1"/>
            </w14:solidFill>
          </w14:textFill>
        </w:rPr>
      </w:pPr>
    </w:p>
    <w:p w14:paraId="1AB11314">
      <w:pPr>
        <w:spacing w:line="360" w:lineRule="auto"/>
        <w:jc w:val="both"/>
        <w:rPr>
          <w:rFonts w:ascii="Arial" w:hAnsi="Arial" w:eastAsia="Arial" w:cs="Arial"/>
          <w:color w:val="000000" w:themeColor="text1"/>
          <w:sz w:val="24"/>
          <w:szCs w:val="24"/>
          <w14:textFill>
            <w14:solidFill>
              <w14:schemeClr w14:val="tx1"/>
            </w14:solidFill>
          </w14:textFill>
        </w:rPr>
      </w:pPr>
    </w:p>
    <w:p w14:paraId="2548D24E">
      <w:pPr>
        <w:spacing w:line="360" w:lineRule="auto"/>
        <w:jc w:val="both"/>
        <w:rPr>
          <w:rFonts w:ascii="Arial" w:hAnsi="Arial" w:eastAsia="Arial" w:cs="Arial"/>
          <w:color w:val="000000" w:themeColor="text1"/>
          <w:sz w:val="24"/>
          <w:szCs w:val="24"/>
          <w14:textFill>
            <w14:solidFill>
              <w14:schemeClr w14:val="tx1"/>
            </w14:solidFill>
          </w14:textFill>
        </w:rPr>
      </w:pPr>
    </w:p>
    <w:p w14:paraId="4A91A37B">
      <w:pPr>
        <w:spacing w:line="360" w:lineRule="auto"/>
        <w:jc w:val="both"/>
        <w:rPr>
          <w:rFonts w:ascii="Arial" w:hAnsi="Arial" w:eastAsia="Arial" w:cs="Arial"/>
          <w:color w:val="000000" w:themeColor="text1"/>
          <w:sz w:val="24"/>
          <w:szCs w:val="24"/>
          <w14:textFill>
            <w14:solidFill>
              <w14:schemeClr w14:val="tx1"/>
            </w14:solidFill>
          </w14:textFill>
        </w:rPr>
      </w:pPr>
    </w:p>
    <w:p w14:paraId="4B3F6DEF">
      <w:pPr>
        <w:spacing w:line="360" w:lineRule="auto"/>
        <w:jc w:val="both"/>
        <w:rPr>
          <w:rFonts w:ascii="Arial" w:hAnsi="Arial" w:eastAsia="Arial" w:cs="Arial"/>
          <w:color w:val="000000" w:themeColor="text1"/>
          <w:sz w:val="24"/>
          <w:szCs w:val="24"/>
          <w14:textFill>
            <w14:solidFill>
              <w14:schemeClr w14:val="tx1"/>
            </w14:solidFill>
          </w14:textFill>
        </w:rPr>
      </w:pPr>
    </w:p>
    <w:p w14:paraId="7191D433">
      <w:pPr>
        <w:spacing w:line="360" w:lineRule="auto"/>
        <w:jc w:val="both"/>
        <w:rPr>
          <w:rFonts w:ascii="Arial" w:hAnsi="Arial" w:eastAsia="Arial" w:cs="Arial"/>
          <w:color w:val="000000" w:themeColor="text1"/>
          <w:sz w:val="24"/>
          <w:szCs w:val="24"/>
          <w14:textFill>
            <w14:solidFill>
              <w14:schemeClr w14:val="tx1"/>
            </w14:solidFill>
          </w14:textFill>
        </w:rPr>
      </w:pPr>
    </w:p>
    <w:p w14:paraId="0400D44E">
      <w:pPr>
        <w:spacing w:line="360" w:lineRule="auto"/>
        <w:jc w:val="both"/>
        <w:rPr>
          <w:rFonts w:ascii="Arial" w:hAnsi="Arial" w:eastAsia="Arial" w:cs="Arial"/>
          <w:color w:val="000000" w:themeColor="text1"/>
          <w:sz w:val="24"/>
          <w:szCs w:val="24"/>
          <w14:textFill>
            <w14:solidFill>
              <w14:schemeClr w14:val="tx1"/>
            </w14:solidFill>
          </w14:textFill>
        </w:rPr>
      </w:pPr>
    </w:p>
    <w:p w14:paraId="7F44190C">
      <w:pPr>
        <w:spacing w:line="360" w:lineRule="auto"/>
        <w:jc w:val="both"/>
        <w:rPr>
          <w:rFonts w:ascii="Arial" w:hAnsi="Arial" w:eastAsia="Arial" w:cs="Arial"/>
          <w:color w:val="000000" w:themeColor="text1"/>
          <w:sz w:val="24"/>
          <w:szCs w:val="24"/>
          <w14:textFill>
            <w14:solidFill>
              <w14:schemeClr w14:val="tx1"/>
            </w14:solidFill>
          </w14:textFill>
        </w:rPr>
      </w:pPr>
    </w:p>
    <w:p w14:paraId="7DA58CD0">
      <w:pPr>
        <w:spacing w:line="360" w:lineRule="auto"/>
        <w:jc w:val="both"/>
        <w:rPr>
          <w:rFonts w:ascii="Arial" w:hAnsi="Arial" w:eastAsia="Arial" w:cs="Arial"/>
          <w:color w:val="000000" w:themeColor="text1"/>
          <w:sz w:val="24"/>
          <w:szCs w:val="24"/>
          <w14:textFill>
            <w14:solidFill>
              <w14:schemeClr w14:val="tx1"/>
            </w14:solidFill>
          </w14:textFill>
        </w:rPr>
      </w:pPr>
    </w:p>
    <w:p w14:paraId="7D43B1FA">
      <w:pPr>
        <w:spacing w:line="360" w:lineRule="auto"/>
        <w:jc w:val="both"/>
        <w:rPr>
          <w:rFonts w:ascii="Arial" w:hAnsi="Arial" w:eastAsia="Arial" w:cs="Arial"/>
          <w:color w:val="000000" w:themeColor="text1"/>
          <w:sz w:val="24"/>
          <w:szCs w:val="24"/>
          <w14:textFill>
            <w14:solidFill>
              <w14:schemeClr w14:val="tx1"/>
            </w14:solidFill>
          </w14:textFill>
        </w:rPr>
      </w:pPr>
    </w:p>
    <w:p w14:paraId="4B1ED8C0">
      <w:pPr>
        <w:spacing w:line="360" w:lineRule="auto"/>
        <w:jc w:val="both"/>
        <w:rPr>
          <w:rFonts w:ascii="Arial" w:hAnsi="Arial" w:eastAsia="Arial" w:cs="Arial"/>
          <w:color w:val="000000" w:themeColor="text1"/>
          <w:sz w:val="24"/>
          <w:szCs w:val="24"/>
          <w14:textFill>
            <w14:solidFill>
              <w14:schemeClr w14:val="tx1"/>
            </w14:solidFill>
          </w14:textFill>
        </w:rPr>
      </w:pPr>
    </w:p>
    <w:p w14:paraId="3C598E5B">
      <w:pPr>
        <w:spacing w:line="360" w:lineRule="auto"/>
        <w:jc w:val="both"/>
        <w:rPr>
          <w:rFonts w:ascii="Arial" w:hAnsi="Arial" w:eastAsia="Arial" w:cs="Arial"/>
          <w:color w:val="000000" w:themeColor="text1"/>
          <w:sz w:val="24"/>
          <w:szCs w:val="24"/>
          <w14:textFill>
            <w14:solidFill>
              <w14:schemeClr w14:val="tx1"/>
            </w14:solidFill>
          </w14:textFill>
        </w:rPr>
      </w:pPr>
    </w:p>
    <w:p w14:paraId="5C79E07B">
      <w:pPr>
        <w:spacing w:line="360" w:lineRule="auto"/>
        <w:jc w:val="both"/>
        <w:rPr>
          <w:rFonts w:ascii="Arial" w:hAnsi="Arial" w:eastAsia="Arial" w:cs="Arial"/>
          <w:color w:val="000000" w:themeColor="text1"/>
          <w:sz w:val="24"/>
          <w:szCs w:val="24"/>
          <w14:textFill>
            <w14:solidFill>
              <w14:schemeClr w14:val="tx1"/>
            </w14:solidFill>
          </w14:textFill>
        </w:rPr>
      </w:pPr>
    </w:p>
    <w:p w14:paraId="5C327C36">
      <w:pPr>
        <w:pStyle w:val="2"/>
      </w:pPr>
      <w:bookmarkStart w:id="3" w:name="_Toc73287560"/>
      <w:r>
        <w:t>O PROJETO</w:t>
      </w:r>
      <w:bookmarkEnd w:id="3"/>
    </w:p>
    <w:p w14:paraId="3991CE33">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Coloque se no papel de um audito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w14:paraId="2C9D5F12">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w14:paraId="50970E00">
      <w:pPr>
        <w:spacing w:line="360" w:lineRule="auto"/>
        <w:jc w:val="both"/>
        <w:rPr>
          <w:rFonts w:ascii="Arial" w:hAnsi="Arial" w:cs="Arial"/>
          <w:color w:val="000000" w:themeColor="text1"/>
          <w:sz w:val="24"/>
          <w:szCs w:val="24"/>
          <w14:textFill>
            <w14:solidFill>
              <w14:schemeClr w14:val="tx1"/>
            </w14:solidFill>
          </w14:textFill>
        </w:rPr>
      </w:pPr>
    </w:p>
    <w:p w14:paraId="705240A9">
      <w:pPr>
        <w:pStyle w:val="3"/>
      </w:pPr>
      <w:bookmarkStart w:id="4" w:name="_Toc73287561"/>
      <w:r>
        <w:t>Detalhes do produto ou serviço</w:t>
      </w:r>
      <w:bookmarkEnd w:id="4"/>
    </w:p>
    <w:tbl>
      <w:tblPr>
        <w:tblStyle w:val="6"/>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23"/>
        <w:gridCol w:w="5528"/>
      </w:tblGrid>
      <w:tr w14:paraId="372E1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3823" w:type="dxa"/>
          </w:tcPr>
          <w:p w14:paraId="627B64EE">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Nome do produto ou serviço:</w:t>
            </w:r>
          </w:p>
        </w:tc>
        <w:tc>
          <w:tcPr>
            <w:tcW w:w="5528" w:type="dxa"/>
          </w:tcPr>
          <w:p w14:paraId="32DBD95A">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
                <w:color w:val="000000" w:themeColor="text1"/>
                <w:sz w:val="24"/>
                <w:szCs w:val="24"/>
                <w:lang w:val="pt-BR"/>
                <w14:textFill>
                  <w14:solidFill>
                    <w14:schemeClr w14:val="tx1"/>
                  </w14:solidFill>
                </w14:textFill>
              </w:rPr>
              <w:t>Game Castle</w:t>
            </w:r>
          </w:p>
        </w:tc>
      </w:tr>
      <w:tr w14:paraId="5EC2A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7D6F04CC">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Fabricante:</w:t>
            </w:r>
          </w:p>
        </w:tc>
        <w:tc>
          <w:tcPr>
            <w:tcW w:w="5528" w:type="dxa"/>
          </w:tcPr>
          <w:p w14:paraId="2717FFF2">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
                <w:color w:val="000000" w:themeColor="text1"/>
                <w:sz w:val="24"/>
                <w:szCs w:val="24"/>
                <w:lang w:val="pt-BR"/>
                <w14:textFill>
                  <w14:solidFill>
                    <w14:schemeClr w14:val="tx1"/>
                  </w14:solidFill>
                </w14:textFill>
              </w:rPr>
              <w:t>Gamegenic</w:t>
            </w:r>
          </w:p>
        </w:tc>
      </w:tr>
      <w:tr w14:paraId="31322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50ECE4A1">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Tempo de uso:</w:t>
            </w:r>
          </w:p>
          <w:p w14:paraId="2B0BC8A2">
            <w:pPr>
              <w:spacing w:line="360" w:lineRule="auto"/>
              <w:rPr>
                <w:rFonts w:ascii="Arial" w:hAnsi="Arial" w:eastAsia="Arial" w:cs="Arial"/>
                <w:b/>
                <w:color w:val="000000" w:themeColor="text1"/>
                <w:sz w:val="24"/>
                <w:szCs w:val="24"/>
                <w14:textFill>
                  <w14:solidFill>
                    <w14:schemeClr w14:val="tx1"/>
                  </w14:solidFill>
                </w14:textFill>
              </w:rPr>
            </w:pPr>
          </w:p>
        </w:tc>
        <w:tc>
          <w:tcPr>
            <w:tcW w:w="5528" w:type="dxa"/>
          </w:tcPr>
          <w:p w14:paraId="7E1CC803">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2 meses</w:t>
            </w:r>
          </w:p>
        </w:tc>
      </w:tr>
      <w:tr w14:paraId="63D23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6B2E13E7">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Outros detalhes relevantes sobre o produto:</w:t>
            </w:r>
          </w:p>
        </w:tc>
        <w:tc>
          <w:tcPr>
            <w:tcW w:w="5528" w:type="dxa"/>
          </w:tcPr>
          <w:p w14:paraId="61BE7D1A">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
                <w:color w:val="000000" w:themeColor="text1"/>
                <w:sz w:val="24"/>
                <w:szCs w:val="24"/>
                <w:lang w:val="pt-BR"/>
                <w14:textFill>
                  <w14:solidFill>
                    <w14:schemeClr w14:val="tx1"/>
                  </w14:solidFill>
                </w14:textFill>
              </w:rPr>
              <w:t>Produto destinado ao público consumidor de card games e board games</w:t>
            </w:r>
          </w:p>
        </w:tc>
      </w:tr>
    </w:tbl>
    <w:p w14:paraId="68AA8236">
      <w:pPr>
        <w:spacing w:line="360" w:lineRule="auto"/>
        <w:jc w:val="both"/>
        <w:rPr>
          <w:rFonts w:ascii="Arial" w:hAnsi="Arial" w:cs="Arial"/>
          <w:color w:val="000000" w:themeColor="text1"/>
          <w:sz w:val="24"/>
          <w:szCs w:val="24"/>
          <w14:textFill>
            <w14:solidFill>
              <w14:schemeClr w14:val="tx1"/>
            </w14:solidFill>
          </w14:textFill>
        </w:rPr>
      </w:pPr>
    </w:p>
    <w:p w14:paraId="6673497B">
      <w:pPr>
        <w:pStyle w:val="3"/>
      </w:pPr>
      <w:bookmarkStart w:id="5" w:name="_Toc73287562"/>
      <w:r>
        <w:t>Tabela de Análise</w:t>
      </w:r>
      <w:bookmarkEnd w:id="5"/>
    </w:p>
    <w:tbl>
      <w:tblPr>
        <w:tblStyle w:val="6"/>
        <w:tblW w:w="94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3969"/>
        <w:gridCol w:w="3544"/>
      </w:tblGrid>
      <w:tr w14:paraId="2D88B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980" w:type="dxa"/>
            <w:shd w:val="clear" w:color="auto" w:fill="D8D8D8" w:themeFill="background1" w:themeFillShade="D9"/>
          </w:tcPr>
          <w:p w14:paraId="7A036035">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Característica</w:t>
            </w:r>
          </w:p>
        </w:tc>
        <w:tc>
          <w:tcPr>
            <w:tcW w:w="3969" w:type="dxa"/>
            <w:shd w:val="clear" w:color="auto" w:fill="D8D8D8" w:themeFill="background1" w:themeFillShade="D9"/>
          </w:tcPr>
          <w:p w14:paraId="103EDDDC">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Sua percepção</w:t>
            </w:r>
          </w:p>
        </w:tc>
        <w:tc>
          <w:tcPr>
            <w:tcW w:w="3544" w:type="dxa"/>
            <w:shd w:val="clear" w:color="auto" w:fill="D8D8D8" w:themeFill="background1" w:themeFillShade="D9"/>
          </w:tcPr>
          <w:p w14:paraId="6F417B67">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Referência da evidência [caso tenha]</w:t>
            </w:r>
          </w:p>
        </w:tc>
      </w:tr>
      <w:tr w14:paraId="02B71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7" w:hRule="atLeast"/>
        </w:trPr>
        <w:tc>
          <w:tcPr>
            <w:tcW w:w="1980" w:type="dxa"/>
          </w:tcPr>
          <w:p w14:paraId="748B00A6">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Usabilidade:</w:t>
            </w:r>
          </w:p>
          <w:p w14:paraId="6FDE7D7C">
            <w:pPr>
              <w:spacing w:line="360" w:lineRule="auto"/>
              <w:rPr>
                <w:rFonts w:ascii="Arial" w:hAnsi="Arial" w:eastAsia="Arial" w:cs="Arial"/>
                <w:b/>
                <w:color w:val="000000" w:themeColor="text1"/>
                <w:sz w:val="24"/>
                <w:szCs w:val="24"/>
                <w14:textFill>
                  <w14:solidFill>
                    <w14:schemeClr w14:val="tx1"/>
                  </w14:solidFill>
                </w14:textFill>
              </w:rPr>
            </w:pPr>
          </w:p>
        </w:tc>
        <w:tc>
          <w:tcPr>
            <w:tcW w:w="3969" w:type="dxa"/>
          </w:tcPr>
          <w:p w14:paraId="7E99A580">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A usabilidade do produto é muito satisfatória para a finalidade a que se propõe. Seu tamanho é adequado para o transporte de uma quantidade considerável de cartas e acessórios, sem que a maleta se torne excessivamente pesada.</w:t>
            </w:r>
          </w:p>
          <w:p w14:paraId="1633F52A">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p>
          <w:p w14:paraId="34FCE0FC">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O produto acompanha uma alça que pode ser encaixada na maleta, facilitando seu transporte. Os contêineres destinados ao armazenamento de cartas e acessórios são removíveis, o que permite retirar os itens necessários de uma única vez e mantê-los sobre a mesa ou área de jogo, evitando a necessidade de abrir repetidamente os compartimentos.</w:t>
            </w:r>
          </w:p>
          <w:p w14:paraId="54643018">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p>
          <w:p w14:paraId="1596F2ED">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Embora seja fabricada predominantemente em plástico, a maleta demonstrou boa resistência durante o período de utilização, suportando pequenas batidas e impactos ocasionados durante o transporte.</w:t>
            </w:r>
          </w:p>
          <w:p w14:paraId="495074F7">
            <w:pPr>
              <w:spacing w:line="360" w:lineRule="auto"/>
              <w:jc w:val="both"/>
              <w:rPr>
                <w:rFonts w:ascii="Arial" w:hAnsi="Arial" w:eastAsia="Arial" w:cs="Arial"/>
                <w:bCs/>
                <w:color w:val="000000" w:themeColor="text1"/>
                <w:sz w:val="24"/>
                <w:szCs w:val="24"/>
                <w14:textFill>
                  <w14:solidFill>
                    <w14:schemeClr w14:val="tx1"/>
                  </w14:solidFill>
                </w14:textFill>
              </w:rPr>
            </w:pPr>
          </w:p>
        </w:tc>
        <w:tc>
          <w:tcPr>
            <w:tcW w:w="3544" w:type="dxa"/>
          </w:tcPr>
          <w:p w14:paraId="186C3C33">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1: foto maleta game castle</w:t>
            </w:r>
          </w:p>
          <w:p w14:paraId="092D6F36">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4: compartimento de cartas</w:t>
            </w:r>
          </w:p>
          <w:p w14:paraId="4A5898AA">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7 : container de cartas</w:t>
            </w:r>
          </w:p>
          <w:p w14:paraId="343DF983">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10: Tamanho de bandejas</w:t>
            </w:r>
          </w:p>
          <w:p w14:paraId="3D4FF2BB">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p>
        </w:tc>
      </w:tr>
      <w:tr w14:paraId="137EC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8" w:hRule="atLeast"/>
        </w:trPr>
        <w:tc>
          <w:tcPr>
            <w:tcW w:w="1980" w:type="dxa"/>
          </w:tcPr>
          <w:p w14:paraId="44DC190B">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Matéria prima:</w:t>
            </w:r>
          </w:p>
        </w:tc>
        <w:tc>
          <w:tcPr>
            <w:tcW w:w="3969" w:type="dxa"/>
          </w:tcPr>
          <w:p w14:paraId="4D15E16D">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Plástico</w:t>
            </w:r>
          </w:p>
        </w:tc>
        <w:tc>
          <w:tcPr>
            <w:tcW w:w="3544" w:type="dxa"/>
          </w:tcPr>
          <w:p w14:paraId="0C39BF7C">
            <w:pPr>
              <w:spacing w:line="360" w:lineRule="auto"/>
              <w:jc w:val="both"/>
              <w:rPr>
                <w:rFonts w:ascii="Arial" w:hAnsi="Arial" w:eastAsia="Arial" w:cs="Arial"/>
                <w:bCs/>
                <w:color w:val="000000" w:themeColor="text1"/>
                <w:sz w:val="24"/>
                <w:szCs w:val="24"/>
                <w14:textFill>
                  <w14:solidFill>
                    <w14:schemeClr w14:val="tx1"/>
                  </w14:solidFill>
                </w14:textFill>
              </w:rPr>
            </w:pPr>
          </w:p>
        </w:tc>
      </w:tr>
      <w:tr w14:paraId="15807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7" w:hRule="atLeast"/>
        </w:trPr>
        <w:tc>
          <w:tcPr>
            <w:tcW w:w="1980" w:type="dxa"/>
          </w:tcPr>
          <w:p w14:paraId="018FCBA6">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Performance:</w:t>
            </w:r>
          </w:p>
        </w:tc>
        <w:tc>
          <w:tcPr>
            <w:tcW w:w="3969" w:type="dxa"/>
          </w:tcPr>
          <w:p w14:paraId="734FE3BE">
            <w:pPr>
              <w:spacing w:line="360" w:lineRule="auto"/>
              <w:jc w:val="both"/>
              <w:rPr>
                <w:rFonts w:hint="default" w:ascii="Arial" w:hAnsi="Arial" w:cs="Arial"/>
                <w:sz w:val="24"/>
                <w:szCs w:val="24"/>
              </w:rPr>
            </w:pPr>
            <w:r>
              <w:rPr>
                <w:rFonts w:hint="default" w:ascii="Arial" w:hAnsi="Arial" w:cs="Arial"/>
                <w:sz w:val="24"/>
                <w:szCs w:val="24"/>
              </w:rPr>
              <w:t>O produto demonstrou boa resistência a pequenos impactos. Todas as partes que exigem manuseio possuem espaço suficiente para os dedos, proporcionando maior conforto e facilidade de utilização.</w:t>
            </w:r>
          </w:p>
          <w:p w14:paraId="29C45E47">
            <w:pPr>
              <w:spacing w:line="360" w:lineRule="auto"/>
              <w:jc w:val="both"/>
              <w:rPr>
                <w:rFonts w:hint="default" w:ascii="Arial" w:hAnsi="Arial" w:cs="Arial"/>
                <w:sz w:val="24"/>
                <w:szCs w:val="24"/>
              </w:rPr>
            </w:pPr>
          </w:p>
          <w:p w14:paraId="5FA08E70">
            <w:pPr>
              <w:spacing w:line="360" w:lineRule="auto"/>
              <w:jc w:val="both"/>
              <w:rPr>
                <w:rFonts w:hint="default" w:ascii="Arial" w:hAnsi="Arial" w:cs="Arial"/>
                <w:sz w:val="24"/>
                <w:szCs w:val="24"/>
              </w:rPr>
            </w:pPr>
            <w:r>
              <w:rPr>
                <w:rFonts w:hint="default" w:ascii="Arial" w:hAnsi="Arial" w:cs="Arial"/>
                <w:sz w:val="24"/>
                <w:szCs w:val="24"/>
              </w:rPr>
              <w:t>Mesmo quando completamente preenchida, a maleta não apresenta peso excessivo, indicando que suas dimensões e capacidade foram projetadas de forma adequada à quantidade de itens que comporta. De modo geral, o produto apresentou um desempenho satisfatório.</w:t>
            </w:r>
          </w:p>
          <w:p w14:paraId="5744079D">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p>
        </w:tc>
        <w:tc>
          <w:tcPr>
            <w:tcW w:w="3544" w:type="dxa"/>
          </w:tcPr>
          <w:p w14:paraId="57261E3D">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 foto maleta game castle</w:t>
            </w:r>
          </w:p>
          <w:p w14:paraId="2C92554B">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12: Estruturas das tampas</w:t>
            </w:r>
          </w:p>
          <w:p w14:paraId="231ED570">
            <w:pPr>
              <w:spacing w:line="360" w:lineRule="auto"/>
              <w:jc w:val="both"/>
              <w:rPr>
                <w:rFonts w:hint="default" w:ascii="Arial" w:hAnsi="Arial" w:cs="Arial"/>
                <w:color w:val="000000" w:themeColor="text1"/>
                <w:sz w:val="24"/>
                <w:szCs w:val="24"/>
                <w:lang w:val="pt-BR"/>
                <w14:textFill>
                  <w14:solidFill>
                    <w14:schemeClr w14:val="tx1"/>
                  </w14:solidFill>
                </w14:textFill>
              </w:rPr>
            </w:pPr>
          </w:p>
        </w:tc>
      </w:tr>
      <w:tr w14:paraId="29650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78" w:hRule="atLeast"/>
        </w:trPr>
        <w:tc>
          <w:tcPr>
            <w:tcW w:w="1980" w:type="dxa"/>
          </w:tcPr>
          <w:p w14:paraId="7BAB18B9">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Design:</w:t>
            </w:r>
          </w:p>
        </w:tc>
        <w:tc>
          <w:tcPr>
            <w:tcW w:w="3969" w:type="dxa"/>
          </w:tcPr>
          <w:p w14:paraId="52D3EF52">
            <w:pPr>
              <w:spacing w:line="360" w:lineRule="auto"/>
              <w:jc w:val="both"/>
              <w:rPr>
                <w:rFonts w:hint="default" w:ascii="Arial" w:hAnsi="Arial" w:cs="Arial"/>
                <w:sz w:val="24"/>
                <w:szCs w:val="24"/>
              </w:rPr>
            </w:pPr>
            <w:r>
              <w:rPr>
                <w:rFonts w:hint="default" w:ascii="Arial" w:hAnsi="Arial" w:cs="Arial"/>
                <w:sz w:val="24"/>
                <w:szCs w:val="24"/>
              </w:rPr>
              <w:t xml:space="preserve">O design do produto foi desenvolvido com base em uma tendência observada no mercado, na qual diversos consumidores utilizam maletas de ferramentas para armazenar e transportar cartas colecionáveis e seus </w:t>
            </w:r>
            <w:r>
              <w:rPr>
                <w:rFonts w:hint="default" w:ascii="Arial" w:hAnsi="Arial" w:cs="Arial"/>
                <w:sz w:val="24"/>
                <w:szCs w:val="24"/>
                <w:lang w:val="pt-BR"/>
              </w:rPr>
              <w:t>respectivos</w:t>
            </w:r>
            <w:r>
              <w:rPr>
                <w:rFonts w:hint="default" w:ascii="Arial" w:hAnsi="Arial" w:cs="Arial"/>
                <w:sz w:val="24"/>
                <w:szCs w:val="24"/>
              </w:rPr>
              <w:t xml:space="preserve"> acessórios. A GameCastle foi projetada para atender a essa necessidade, buscando corrigir algumas inconveniências presentes nas maletas de ferramentas convencionais.</w:t>
            </w:r>
          </w:p>
          <w:p w14:paraId="1689A655">
            <w:pPr>
              <w:spacing w:line="360" w:lineRule="auto"/>
              <w:jc w:val="both"/>
              <w:rPr>
                <w:rFonts w:hint="default" w:ascii="Arial" w:hAnsi="Arial" w:cs="Arial"/>
                <w:sz w:val="24"/>
                <w:szCs w:val="24"/>
              </w:rPr>
            </w:pPr>
          </w:p>
          <w:p w14:paraId="1A093F02">
            <w:pPr>
              <w:spacing w:line="360" w:lineRule="auto"/>
              <w:jc w:val="both"/>
              <w:rPr>
                <w:rFonts w:hint="default" w:ascii="Arial" w:hAnsi="Arial" w:cs="Arial"/>
                <w:sz w:val="24"/>
                <w:szCs w:val="24"/>
              </w:rPr>
            </w:pPr>
            <w:r>
              <w:rPr>
                <w:rFonts w:hint="default" w:ascii="Arial" w:hAnsi="Arial" w:cs="Arial"/>
                <w:sz w:val="24"/>
                <w:szCs w:val="24"/>
              </w:rPr>
              <w:t>Entre suas principais características, destacam-se os contêineres destinados ao armazenamento de cartas. Cada container</w:t>
            </w:r>
            <w:r>
              <w:rPr>
                <w:rFonts w:hint="default" w:ascii="Arial" w:hAnsi="Arial" w:cs="Arial"/>
                <w:sz w:val="24"/>
                <w:szCs w:val="24"/>
                <w:lang w:val="pt-BR"/>
              </w:rPr>
              <w:t xml:space="preserve"> </w:t>
            </w:r>
            <w:r>
              <w:rPr>
                <w:rFonts w:hint="default" w:ascii="Arial" w:hAnsi="Arial" w:cs="Arial"/>
                <w:sz w:val="24"/>
                <w:szCs w:val="24"/>
              </w:rPr>
              <w:t>possui altura, largura e profundidade adequadas para acomodar as cartas de forma organizada, evitando que fiquem soltas ou se movimentem excessivamente em seu interior. Além disso, apresentam aberturas nas laterais, facilitando o manuseio das cartas durante os processos de armazenamento e retirada.</w:t>
            </w:r>
          </w:p>
          <w:p w14:paraId="1DFAB25D">
            <w:pPr>
              <w:spacing w:line="360" w:lineRule="auto"/>
              <w:jc w:val="both"/>
              <w:rPr>
                <w:rFonts w:hint="default" w:ascii="Arial" w:hAnsi="Arial" w:cs="Arial"/>
                <w:sz w:val="24"/>
                <w:szCs w:val="24"/>
              </w:rPr>
            </w:pPr>
          </w:p>
          <w:p w14:paraId="12DACA51">
            <w:pPr>
              <w:spacing w:line="360" w:lineRule="auto"/>
              <w:jc w:val="both"/>
              <w:rPr>
                <w:rFonts w:hint="default" w:ascii="Arial" w:hAnsi="Arial" w:cs="Arial"/>
                <w:sz w:val="24"/>
                <w:szCs w:val="24"/>
              </w:rPr>
            </w:pPr>
            <w:r>
              <w:rPr>
                <w:rFonts w:hint="default" w:ascii="Arial" w:hAnsi="Arial" w:cs="Arial"/>
                <w:sz w:val="24"/>
                <w:szCs w:val="24"/>
              </w:rPr>
              <w:t>No compartimento destinado aos contêineres, é possível armazenar até seis unidades. O espaço interno é dividido em duas colunas por meio de uma pequena divisória. Em cada uma delas, há estruturas que formam encaixes para os contêineres, garantindo o espaçamento adequado entre os objetos e permitindo sua retirada com os dedos de maneira confortável.</w:t>
            </w:r>
          </w:p>
          <w:p w14:paraId="7C2239AD">
            <w:pPr>
              <w:spacing w:line="360" w:lineRule="auto"/>
              <w:jc w:val="both"/>
              <w:rPr>
                <w:rFonts w:hint="default" w:ascii="Arial" w:hAnsi="Arial" w:cs="Arial"/>
                <w:sz w:val="24"/>
                <w:szCs w:val="24"/>
              </w:rPr>
            </w:pPr>
          </w:p>
          <w:p w14:paraId="6FC613D3">
            <w:pPr>
              <w:spacing w:line="360" w:lineRule="auto"/>
              <w:jc w:val="both"/>
              <w:rPr>
                <w:rFonts w:hint="default" w:ascii="Arial" w:hAnsi="Arial" w:cs="Arial"/>
                <w:sz w:val="24"/>
                <w:szCs w:val="24"/>
              </w:rPr>
            </w:pPr>
            <w:r>
              <w:rPr>
                <w:rFonts w:hint="default" w:ascii="Arial" w:hAnsi="Arial" w:cs="Arial"/>
                <w:sz w:val="24"/>
                <w:szCs w:val="24"/>
              </w:rPr>
              <w:t>Esse mesmo compartimento possui ainda dois espaços fixos, com profundidade semelhante à dos contêineres, que podem ser utilizados para armazenar cartas adicionais ou acessórios frequentemente utilizados pelo usuário.</w:t>
            </w:r>
          </w:p>
          <w:p w14:paraId="750DD178">
            <w:pPr>
              <w:spacing w:line="360" w:lineRule="auto"/>
              <w:jc w:val="both"/>
              <w:rPr>
                <w:rFonts w:hint="default" w:ascii="Arial" w:hAnsi="Arial" w:cs="Arial"/>
                <w:sz w:val="24"/>
                <w:szCs w:val="24"/>
              </w:rPr>
            </w:pPr>
          </w:p>
          <w:p w14:paraId="6BC44508">
            <w:pPr>
              <w:spacing w:line="360" w:lineRule="auto"/>
              <w:jc w:val="both"/>
              <w:rPr>
                <w:rFonts w:hint="default" w:ascii="Arial" w:hAnsi="Arial" w:cs="Arial"/>
                <w:sz w:val="24"/>
                <w:szCs w:val="24"/>
              </w:rPr>
            </w:pPr>
            <w:r>
              <w:rPr>
                <w:rFonts w:hint="default" w:ascii="Arial" w:hAnsi="Arial" w:cs="Arial"/>
                <w:sz w:val="24"/>
                <w:szCs w:val="24"/>
              </w:rPr>
              <w:t>O outro lado da maleta é destinado principalmente ao armazenamento de dados e acessórios. Esse compartimento possui 19 bandejas removíveis, distribuídas em cinco formatos e tamanhos diferentes. Por serem removíveis, as bandejas podem ser reorganizadas de acordo com a preferência e as necessidades do usuário.</w:t>
            </w:r>
          </w:p>
          <w:p w14:paraId="50A10B29">
            <w:pPr>
              <w:spacing w:line="360" w:lineRule="auto"/>
              <w:jc w:val="both"/>
              <w:rPr>
                <w:rFonts w:hint="default" w:ascii="Arial" w:hAnsi="Arial" w:cs="Arial"/>
                <w:sz w:val="24"/>
                <w:szCs w:val="24"/>
              </w:rPr>
            </w:pPr>
          </w:p>
          <w:p w14:paraId="5D44002E">
            <w:pPr>
              <w:spacing w:line="360" w:lineRule="auto"/>
              <w:jc w:val="both"/>
              <w:rPr>
                <w:rFonts w:hint="default" w:ascii="Arial" w:hAnsi="Arial" w:cs="Arial"/>
                <w:sz w:val="24"/>
                <w:szCs w:val="24"/>
              </w:rPr>
            </w:pPr>
            <w:r>
              <w:rPr>
                <w:rFonts w:hint="default" w:ascii="Arial" w:hAnsi="Arial" w:cs="Arial"/>
                <w:sz w:val="24"/>
                <w:szCs w:val="24"/>
              </w:rPr>
              <w:t>Entretanto, a menor profundidade desse compartimento limita o armazenamento de dados maiores, que, embora não correspondam ao padrão mais comum de venda no mercado, ainda são populares entre parte do público-alvo do produto</w:t>
            </w:r>
            <w:r>
              <w:rPr>
                <w:rFonts w:hint="default" w:ascii="Arial" w:hAnsi="Arial" w:cs="Arial"/>
                <w:sz w:val="24"/>
                <w:szCs w:val="24"/>
                <w:lang w:val="pt-BR"/>
              </w:rPr>
              <w:t xml:space="preserve"> e frequentemente presentes em vários produtos das fabricantes de jogos no mercado</w:t>
            </w:r>
            <w:r>
              <w:rPr>
                <w:rFonts w:hint="default" w:ascii="Arial" w:hAnsi="Arial" w:cs="Arial"/>
                <w:sz w:val="24"/>
                <w:szCs w:val="24"/>
              </w:rPr>
              <w:t>.</w:t>
            </w:r>
          </w:p>
          <w:p w14:paraId="66BDDC33">
            <w:pPr>
              <w:spacing w:line="360" w:lineRule="auto"/>
              <w:jc w:val="both"/>
              <w:rPr>
                <w:rFonts w:hint="default" w:ascii="Arial" w:hAnsi="Arial" w:cs="Arial"/>
                <w:sz w:val="24"/>
                <w:szCs w:val="24"/>
              </w:rPr>
            </w:pPr>
          </w:p>
          <w:p w14:paraId="1FC3110D">
            <w:pPr>
              <w:spacing w:line="360" w:lineRule="auto"/>
              <w:jc w:val="both"/>
              <w:rPr>
                <w:rFonts w:hint="default" w:ascii="Arial" w:hAnsi="Arial" w:cs="Arial"/>
                <w:sz w:val="24"/>
                <w:szCs w:val="24"/>
              </w:rPr>
            </w:pPr>
            <w:r>
              <w:rPr>
                <w:rFonts w:hint="default" w:ascii="Arial" w:hAnsi="Arial" w:cs="Arial"/>
                <w:sz w:val="24"/>
                <w:szCs w:val="24"/>
              </w:rPr>
              <w:t>Por fim, as fechaduras apresentam fácil acesso e permitem a abertura e o fechamento das duas partes da maleta com praticidade, ao mesmo tempo em que mantêm a segurança necessária para evitar aberturas acidentais durante o transporte.</w:t>
            </w:r>
          </w:p>
          <w:p w14:paraId="587E10E7">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p>
        </w:tc>
        <w:tc>
          <w:tcPr>
            <w:tcW w:w="3544" w:type="dxa"/>
          </w:tcPr>
          <w:p w14:paraId="5699036F">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 foto maleta game castle</w:t>
            </w:r>
          </w:p>
          <w:p w14:paraId="092F0009">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ascii="Arial" w:hAnsi="Arial" w:eastAsia="Arial" w:cs="Arial"/>
                <w:bCs/>
                <w:color w:val="000000" w:themeColor="text1"/>
                <w:sz w:val="24"/>
                <w:szCs w:val="24"/>
                <w14:textFill>
                  <w14:solidFill>
                    <w14:schemeClr w14:val="tx1"/>
                  </w14:solidFill>
                </w14:textFill>
              </w:rPr>
              <w:t xml:space="preserve"> </w:t>
            </w:r>
            <w:r>
              <w:rPr>
                <w:rFonts w:hint="default" w:ascii="Arial" w:hAnsi="Arial" w:eastAsia="Calibri" w:cs="Arial"/>
                <w:color w:val="000000"/>
                <w:kern w:val="0"/>
                <w:sz w:val="24"/>
                <w:szCs w:val="24"/>
                <w:lang w:val="en-US" w:eastAsia="zh-CN" w:bidi="ar"/>
              </w:rPr>
              <w:t>Imagem 7 : container de cartas</w:t>
            </w:r>
          </w:p>
          <w:p w14:paraId="2128C1E2">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4: compartimento de cartas</w:t>
            </w:r>
          </w:p>
          <w:p w14:paraId="61EF87D6">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kern w:val="0"/>
                <w:sz w:val="24"/>
                <w:szCs w:val="24"/>
                <w:lang w:val="en-US" w:eastAsia="zh-CN" w:bidi="ar"/>
              </w:rPr>
            </w:pPr>
            <w:r>
              <w:rPr>
                <w:rFonts w:hint="default" w:ascii="Arial" w:hAnsi="Arial" w:eastAsia="Calibri" w:cs="Arial"/>
                <w:color w:val="000000"/>
                <w:kern w:val="0"/>
                <w:sz w:val="24"/>
                <w:szCs w:val="24"/>
                <w:lang w:val="en-US" w:eastAsia="zh-CN" w:bidi="ar"/>
              </w:rPr>
              <w:t>Imagem 5: divisórias do compartimento de cartas</w:t>
            </w:r>
          </w:p>
          <w:p w14:paraId="603E6962">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6: Trilho do compartimento de cartas</w:t>
            </w:r>
          </w:p>
          <w:p w14:paraId="3E905F62">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kern w:val="0"/>
                <w:sz w:val="24"/>
                <w:szCs w:val="24"/>
                <w:lang w:val="en-US" w:eastAsia="zh-CN" w:bidi="ar"/>
              </w:rPr>
            </w:pPr>
            <w:r>
              <w:rPr>
                <w:rFonts w:hint="default" w:ascii="Arial" w:hAnsi="Arial" w:eastAsia="Calibri" w:cs="Arial"/>
                <w:color w:val="000000"/>
                <w:kern w:val="0"/>
                <w:sz w:val="24"/>
                <w:szCs w:val="24"/>
                <w:lang w:val="en-US" w:eastAsia="zh-CN" w:bidi="ar"/>
              </w:rPr>
              <w:t>Imagem 8: espaço extra no compartimento de carta</w:t>
            </w:r>
          </w:p>
          <w:p w14:paraId="21BD7242">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9: compartimento de acessórios</w:t>
            </w:r>
          </w:p>
          <w:p w14:paraId="24986F46">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Imagem 10: Tamanho de bandejas</w:t>
            </w:r>
          </w:p>
          <w:p w14:paraId="503FA2AF">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kern w:val="0"/>
                <w:sz w:val="24"/>
                <w:szCs w:val="24"/>
                <w:lang w:val="en-US" w:eastAsia="zh-CN" w:bidi="ar"/>
              </w:rPr>
            </w:pPr>
            <w:r>
              <w:rPr>
                <w:rFonts w:hint="default" w:ascii="Arial" w:hAnsi="Arial" w:eastAsia="Calibri" w:cs="Arial"/>
                <w:color w:val="000000"/>
                <w:kern w:val="0"/>
                <w:sz w:val="24"/>
                <w:szCs w:val="24"/>
                <w:lang w:val="en-US" w:eastAsia="zh-CN" w:bidi="ar"/>
              </w:rPr>
              <w:t xml:space="preserve">Imagem 11: flexibilidade na organização das bandejas </w:t>
            </w:r>
          </w:p>
          <w:p w14:paraId="69DA30B7">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rPr>
            </w:pPr>
            <w:r>
              <w:rPr>
                <w:rFonts w:hint="default" w:ascii="Arial" w:hAnsi="Arial" w:eastAsia="Calibri" w:cs="Arial"/>
                <w:color w:val="000000"/>
                <w:kern w:val="0"/>
                <w:sz w:val="24"/>
                <w:szCs w:val="24"/>
                <w:lang w:val="en-US" w:eastAsia="zh-CN" w:bidi="ar"/>
              </w:rPr>
              <w:t xml:space="preserve">Imagem 2: Foto das travas fechadas </w:t>
            </w:r>
          </w:p>
          <w:p w14:paraId="7BF7373E">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kern w:val="0"/>
                <w:sz w:val="24"/>
                <w:szCs w:val="24"/>
                <w:lang w:val="en-US" w:eastAsia="zh-CN" w:bidi="ar"/>
              </w:rPr>
            </w:pPr>
            <w:r>
              <w:rPr>
                <w:rFonts w:hint="default" w:ascii="Arial" w:hAnsi="Arial" w:eastAsia="Calibri" w:cs="Arial"/>
                <w:color w:val="000000"/>
                <w:sz w:val="24"/>
                <w:szCs w:val="24"/>
              </w:rPr>
              <w:t>Imagem 3: foto travas abertas</w:t>
            </w:r>
          </w:p>
          <w:p w14:paraId="2C264364">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kern w:val="0"/>
                <w:sz w:val="24"/>
                <w:szCs w:val="24"/>
                <w:lang w:val="en-US" w:eastAsia="zh-CN" w:bidi="ar"/>
              </w:rPr>
            </w:pPr>
          </w:p>
          <w:p w14:paraId="0480536C">
            <w:pPr>
              <w:keepNext w:val="0"/>
              <w:keepLines w:val="0"/>
              <w:widowControl/>
              <w:suppressLineNumbers w:val="0"/>
              <w:spacing w:before="0" w:beforeAutospacing="1" w:after="0" w:afterAutospacing="1" w:line="360" w:lineRule="auto"/>
              <w:ind w:left="0" w:right="0"/>
              <w:jc w:val="both"/>
              <w:rPr>
                <w:rFonts w:hint="default" w:ascii="Arial" w:hAnsi="Arial" w:eastAsia="Calibri" w:cs="Arial"/>
                <w:color w:val="000000"/>
                <w:kern w:val="0"/>
                <w:sz w:val="24"/>
                <w:szCs w:val="24"/>
                <w:lang w:val="en-US" w:eastAsia="zh-CN" w:bidi="ar"/>
              </w:rPr>
            </w:pPr>
          </w:p>
          <w:p w14:paraId="2947805F">
            <w:pPr>
              <w:keepNext w:val="0"/>
              <w:keepLines w:val="0"/>
              <w:widowControl/>
              <w:suppressLineNumbers w:val="0"/>
              <w:spacing w:before="0" w:beforeAutospacing="1" w:after="0" w:afterAutospacing="1" w:line="360" w:lineRule="auto"/>
              <w:ind w:left="0" w:right="0"/>
              <w:jc w:val="both"/>
              <w:rPr>
                <w:rFonts w:ascii="Arial" w:hAnsi="Arial" w:eastAsia="Arial" w:cs="Arial"/>
                <w:bCs/>
                <w:color w:val="000000" w:themeColor="text1"/>
                <w:sz w:val="24"/>
                <w:szCs w:val="24"/>
                <w14:textFill>
                  <w14:solidFill>
                    <w14:schemeClr w14:val="tx1"/>
                  </w14:solidFill>
                </w14:textFill>
              </w:rPr>
            </w:pPr>
          </w:p>
        </w:tc>
      </w:tr>
    </w:tbl>
    <w:p w14:paraId="5282C743">
      <w:pPr>
        <w:spacing w:line="360" w:lineRule="auto"/>
        <w:jc w:val="both"/>
        <w:rPr>
          <w:rFonts w:ascii="Arial" w:hAnsi="Arial" w:cs="Arial"/>
          <w:color w:val="000000" w:themeColor="text1"/>
          <w:sz w:val="24"/>
          <w:szCs w:val="24"/>
          <w14:textFill>
            <w14:solidFill>
              <w14:schemeClr w14:val="tx1"/>
            </w14:solidFill>
          </w14:textFill>
        </w:rPr>
      </w:pPr>
    </w:p>
    <w:p w14:paraId="560677F1">
      <w:pPr>
        <w:pStyle w:val="3"/>
      </w:pPr>
      <w:r>
        <w:t xml:space="preserve"> </w:t>
      </w:r>
      <w:bookmarkStart w:id="6" w:name="_Toc73287563"/>
      <w:r>
        <w:t>Relatório</w:t>
      </w:r>
      <w:bookmarkEnd w:id="6"/>
      <w:r>
        <w:t xml:space="preserve"> </w:t>
      </w:r>
    </w:p>
    <w:p w14:paraId="1357411C">
      <w:pPr>
        <w:pStyle w:val="4"/>
        <w:numPr>
          <w:ilvl w:val="0"/>
          <w:numId w:val="0"/>
        </w:numPr>
        <w:spacing w:line="360" w:lineRule="auto"/>
        <w:ind w:left="360" w:leftChars="0"/>
        <w:jc w:val="both"/>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Após 2 meses de uso ficou claro que o item cumpre seus objetivos de armazenar e facilitar o transporte de varias cartas e acessório sem ter a necessidade de carregar múltiplas caixa de armazenamento, fazendo com o transporte de vários baralhos e acessórios necessário para jogatina de uma dia inteiro para múltiplas pessoas. Utilizei a maleta pelo menos uma vez por semana, durante seu uso foi possível perceber notar um grande planejamento em seus compartimentos em que todos tenham fácil uso e conforto em sua utilização, seus material se provou resistente a b</w:t>
      </w:r>
      <w:r>
        <w:rPr>
          <w:rFonts w:hint="default" w:ascii="Arial" w:hAnsi="Arial" w:eastAsia="Arial" w:cs="Arial"/>
          <w:color w:val="000000" w:themeColor="text1"/>
          <w:sz w:val="24"/>
          <w:szCs w:val="24"/>
          <w14:textFill>
            <w14:solidFill>
              <w14:schemeClr w14:val="tx1"/>
            </w14:solidFill>
          </w14:textFill>
        </w:rPr>
        <w:t>atida</w:t>
      </w:r>
      <w:r>
        <w:rPr>
          <w:rFonts w:hint="default" w:ascii="Arial" w:hAnsi="Arial" w:eastAsia="Arial" w:cs="Arial"/>
          <w:color w:val="000000" w:themeColor="text1"/>
          <w:sz w:val="24"/>
          <w:szCs w:val="24"/>
          <w:lang w:val="pt-BR"/>
          <w14:textFill>
            <w14:solidFill>
              <w14:schemeClr w14:val="tx1"/>
            </w14:solidFill>
          </w14:textFill>
        </w:rPr>
        <w:t xml:space="preserve">s devido a algumas situações e incidentes durante o transporte e uso em locais menos controlados como confraternização de família e amigos, mesmo em partes frágeis como travas e dobradiças. Durante seu uso notei que vários pequenos detalhes foram pensado como os trilhos de plástico, localizado na parte focada em carta, que permite uma melhor fixação dos </w:t>
      </w:r>
      <w:r>
        <w:rPr>
          <w:rFonts w:hint="default" w:ascii="Arial" w:hAnsi="Arial" w:cs="Arial"/>
          <w:color w:val="000000" w:themeColor="text1"/>
          <w:lang w:val="pt-BR"/>
          <w14:textFill>
            <w14:solidFill>
              <w14:schemeClr w14:val="tx1"/>
            </w14:solidFill>
          </w14:textFill>
        </w:rPr>
        <w:t xml:space="preserve">container para as cartas e ao mesmo tempo gera uma espaço entre as paredes da maleta e entre as duas fileiras de containers, espaço esse perfeito para os dedos assim dessa forma facilitando o manuseio das cartas fazendo com que o mesmo fique bem mais confortável e pratico, o mesmo também ocorre com o lado focado em acessórios onde as bandejas removíveis alem dos pontos anteriores também permite uma organização bem mais personalizada por parte do usuário. </w:t>
      </w:r>
    </w:p>
    <w:p w14:paraId="3967E874">
      <w:pPr>
        <w:pStyle w:val="3"/>
        <w:numPr>
          <w:ilvl w:val="1"/>
          <w:numId w:val="0"/>
        </w:numPr>
        <w:ind w:left="720" w:leftChars="0"/>
      </w:pPr>
    </w:p>
    <w:p w14:paraId="6613DB8C">
      <w:pPr>
        <w:pStyle w:val="3"/>
      </w:pPr>
      <w:r>
        <w:t xml:space="preserve"> </w:t>
      </w:r>
      <w:bookmarkStart w:id="7" w:name="_Toc73287564"/>
      <w:r>
        <w:t>Evidências</w:t>
      </w:r>
      <w:bookmarkEnd w:id="7"/>
      <w:r>
        <w:t xml:space="preserve"> </w:t>
      </w:r>
    </w:p>
    <w:p w14:paraId="77938AC5">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439920" cy="3730625"/>
            <wp:effectExtent l="0" t="0" r="10160" b="3175"/>
            <wp:docPr id="4" name="Imagem 4" descr="IMG_20260828_13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MG_20260828_130742"/>
                    <pic:cNvPicPr>
                      <a:picLocks noChangeAspect="1"/>
                    </pic:cNvPicPr>
                  </pic:nvPicPr>
                  <pic:blipFill>
                    <a:blip r:embed="rId7"/>
                    <a:stretch>
                      <a:fillRect/>
                    </a:stretch>
                  </pic:blipFill>
                  <pic:spPr>
                    <a:xfrm>
                      <a:off x="0" y="0"/>
                      <a:ext cx="4439920" cy="3730625"/>
                    </a:xfrm>
                    <a:prstGeom prst="rect">
                      <a:avLst/>
                    </a:prstGeom>
                  </pic:spPr>
                </pic:pic>
              </a:graphicData>
            </a:graphic>
          </wp:inline>
        </w:drawing>
      </w:r>
    </w:p>
    <w:p w14:paraId="47A7F1F8">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 foto maleta game castle</w:t>
      </w:r>
    </w:p>
    <w:p w14:paraId="3BB08E84">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384675" cy="3288665"/>
            <wp:effectExtent l="0" t="0" r="4445" b="3175"/>
            <wp:docPr id="14" name="Imagem 14" descr="IMG_20260828_13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MG_20260828_130746"/>
                    <pic:cNvPicPr>
                      <a:picLocks noChangeAspect="1"/>
                    </pic:cNvPicPr>
                  </pic:nvPicPr>
                  <pic:blipFill>
                    <a:blip r:embed="rId8"/>
                    <a:stretch>
                      <a:fillRect/>
                    </a:stretch>
                  </pic:blipFill>
                  <pic:spPr>
                    <a:xfrm>
                      <a:off x="0" y="0"/>
                      <a:ext cx="4384675" cy="3288665"/>
                    </a:xfrm>
                    <a:prstGeom prst="rect">
                      <a:avLst/>
                    </a:prstGeom>
                  </pic:spPr>
                </pic:pic>
              </a:graphicData>
            </a:graphic>
          </wp:inline>
        </w:drawing>
      </w:r>
    </w:p>
    <w:p w14:paraId="09C42E57">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 xml:space="preserve">Imagem 2: Foto das travas fechadas </w:t>
      </w:r>
    </w:p>
    <w:p w14:paraId="5A931284">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668520" cy="3501390"/>
            <wp:effectExtent l="0" t="0" r="10160" b="3810"/>
            <wp:docPr id="5" name="Imagem 5" descr="IMG_20260826_17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MG_20260826_175025"/>
                    <pic:cNvPicPr>
                      <a:picLocks noChangeAspect="1"/>
                    </pic:cNvPicPr>
                  </pic:nvPicPr>
                  <pic:blipFill>
                    <a:blip r:embed="rId9"/>
                    <a:stretch>
                      <a:fillRect/>
                    </a:stretch>
                  </pic:blipFill>
                  <pic:spPr>
                    <a:xfrm>
                      <a:off x="0" y="0"/>
                      <a:ext cx="4668520" cy="3501390"/>
                    </a:xfrm>
                    <a:prstGeom prst="rect">
                      <a:avLst/>
                    </a:prstGeom>
                  </pic:spPr>
                </pic:pic>
              </a:graphicData>
            </a:graphic>
          </wp:inline>
        </w:drawing>
      </w:r>
    </w:p>
    <w:p w14:paraId="23158DA1">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 xml:space="preserve">Imagem 3: foto travas abertas </w:t>
      </w:r>
    </w:p>
    <w:p w14:paraId="2505AC80">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785360" cy="3589020"/>
            <wp:effectExtent l="0" t="0" r="0" b="7620"/>
            <wp:docPr id="10" name="Imagem 10" descr="IMG_20260826_17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MG_20260826_174834"/>
                    <pic:cNvPicPr>
                      <a:picLocks noChangeAspect="1"/>
                    </pic:cNvPicPr>
                  </pic:nvPicPr>
                  <pic:blipFill>
                    <a:blip r:embed="rId10"/>
                    <a:stretch>
                      <a:fillRect/>
                    </a:stretch>
                  </pic:blipFill>
                  <pic:spPr>
                    <a:xfrm>
                      <a:off x="0" y="0"/>
                      <a:ext cx="4785360" cy="3589020"/>
                    </a:xfrm>
                    <a:prstGeom prst="rect">
                      <a:avLst/>
                    </a:prstGeom>
                  </pic:spPr>
                </pic:pic>
              </a:graphicData>
            </a:graphic>
          </wp:inline>
        </w:drawing>
      </w:r>
    </w:p>
    <w:p w14:paraId="584B67EC">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4: compartimento de cartas</w:t>
      </w:r>
    </w:p>
    <w:p w14:paraId="1D1125B7">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826635" cy="3620135"/>
            <wp:effectExtent l="0" t="0" r="4445" b="6985"/>
            <wp:docPr id="8" name="Imagem 8" descr="IMG_20260826_17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MG_20260826_174921"/>
                    <pic:cNvPicPr>
                      <a:picLocks noChangeAspect="1"/>
                    </pic:cNvPicPr>
                  </pic:nvPicPr>
                  <pic:blipFill>
                    <a:blip r:embed="rId11"/>
                    <a:stretch>
                      <a:fillRect/>
                    </a:stretch>
                  </pic:blipFill>
                  <pic:spPr>
                    <a:xfrm>
                      <a:off x="0" y="0"/>
                      <a:ext cx="4826635" cy="3620135"/>
                    </a:xfrm>
                    <a:prstGeom prst="rect">
                      <a:avLst/>
                    </a:prstGeom>
                  </pic:spPr>
                </pic:pic>
              </a:graphicData>
            </a:graphic>
          </wp:inline>
        </w:drawing>
      </w:r>
    </w:p>
    <w:p w14:paraId="6C62ED95">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5: divisórias do compartimento de cartas</w:t>
      </w:r>
    </w:p>
    <w:p w14:paraId="42B69590">
      <w:pPr>
        <w:spacing w:line="360" w:lineRule="auto"/>
        <w:jc w:val="both"/>
        <w:rPr>
          <w:rFonts w:hint="default" w:ascii="Arial" w:hAnsi="Arial" w:cs="Arial"/>
          <w:color w:val="000000" w:themeColor="text1"/>
          <w:sz w:val="24"/>
          <w:szCs w:val="24"/>
          <w:lang w:val="pt-BR"/>
          <w14:textFill>
            <w14:solidFill>
              <w14:schemeClr w14:val="tx1"/>
            </w14:solidFill>
          </w14:textFill>
        </w:rPr>
      </w:pPr>
    </w:p>
    <w:p w14:paraId="49A6221C">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798060" cy="3598545"/>
            <wp:effectExtent l="0" t="0" r="2540" b="13335"/>
            <wp:docPr id="7" name="Imagem 7" descr="IMG_20260826_17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MG_20260826_174933"/>
                    <pic:cNvPicPr>
                      <a:picLocks noChangeAspect="1"/>
                    </pic:cNvPicPr>
                  </pic:nvPicPr>
                  <pic:blipFill>
                    <a:blip r:embed="rId12"/>
                    <a:stretch>
                      <a:fillRect/>
                    </a:stretch>
                  </pic:blipFill>
                  <pic:spPr>
                    <a:xfrm>
                      <a:off x="0" y="0"/>
                      <a:ext cx="4798060" cy="3598545"/>
                    </a:xfrm>
                    <a:prstGeom prst="rect">
                      <a:avLst/>
                    </a:prstGeom>
                  </pic:spPr>
                </pic:pic>
              </a:graphicData>
            </a:graphic>
          </wp:inline>
        </w:drawing>
      </w:r>
    </w:p>
    <w:p w14:paraId="507CB12B">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6: Trilho do compartimento de cartas</w:t>
      </w:r>
    </w:p>
    <w:p w14:paraId="70C67760">
      <w:pPr>
        <w:spacing w:line="360" w:lineRule="auto"/>
        <w:jc w:val="both"/>
        <w:rPr>
          <w:rFonts w:hint="default" w:ascii="Arial" w:hAnsi="Arial" w:cs="Arial"/>
          <w:color w:val="000000" w:themeColor="text1"/>
          <w:sz w:val="24"/>
          <w:szCs w:val="24"/>
          <w:lang w:val="pt-BR"/>
          <w14:textFill>
            <w14:solidFill>
              <w14:schemeClr w14:val="tx1"/>
            </w14:solidFill>
          </w14:textFill>
        </w:rPr>
      </w:pPr>
    </w:p>
    <w:p w14:paraId="020A6B5F">
      <w:pPr>
        <w:spacing w:line="360" w:lineRule="auto"/>
        <w:jc w:val="both"/>
        <w:rPr>
          <w:rFonts w:hint="default" w:ascii="Arial" w:hAnsi="Arial" w:cs="Arial"/>
          <w:color w:val="000000" w:themeColor="text1"/>
          <w:lang w:val="pt-BR"/>
          <w14:textFill>
            <w14:solidFill>
              <w14:schemeClr w14:val="tx1"/>
            </w14:solidFill>
          </w14:textFill>
        </w:rPr>
      </w:pPr>
      <w:r>
        <w:rPr>
          <w:rFonts w:hint="default" w:ascii="Arial" w:hAnsi="Arial" w:cs="Arial"/>
          <w:color w:val="000000" w:themeColor="text1"/>
          <w:lang w:val="pt-BR"/>
          <w14:textFill>
            <w14:solidFill>
              <w14:schemeClr w14:val="tx1"/>
            </w14:solidFill>
          </w14:textFill>
        </w:rPr>
        <w:drawing>
          <wp:inline distT="0" distB="0" distL="114300" distR="114300">
            <wp:extent cx="5384800" cy="4038600"/>
            <wp:effectExtent l="0" t="0" r="10160" b="0"/>
            <wp:docPr id="19" name="Imagem 19" descr="bandej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bandeja (2)"/>
                    <pic:cNvPicPr>
                      <a:picLocks noChangeAspect="1"/>
                    </pic:cNvPicPr>
                  </pic:nvPicPr>
                  <pic:blipFill>
                    <a:blip r:embed="rId13"/>
                    <a:stretch>
                      <a:fillRect/>
                    </a:stretch>
                  </pic:blipFill>
                  <pic:spPr>
                    <a:xfrm>
                      <a:off x="0" y="0"/>
                      <a:ext cx="5384800" cy="4038600"/>
                    </a:xfrm>
                    <a:prstGeom prst="rect">
                      <a:avLst/>
                    </a:prstGeom>
                  </pic:spPr>
                </pic:pic>
              </a:graphicData>
            </a:graphic>
          </wp:inline>
        </w:drawing>
      </w:r>
    </w:p>
    <w:p w14:paraId="36C7CA39">
      <w:pPr>
        <w:spacing w:line="360" w:lineRule="auto"/>
        <w:jc w:val="both"/>
        <w:rPr>
          <w:rFonts w:hint="default" w:ascii="Arial" w:hAnsi="Arial" w:cs="Arial"/>
          <w:color w:val="000000" w:themeColor="text1"/>
          <w:lang w:val="pt-BR"/>
          <w14:textFill>
            <w14:solidFill>
              <w14:schemeClr w14:val="tx1"/>
            </w14:solidFill>
          </w14:textFill>
        </w:rPr>
      </w:pPr>
      <w:r>
        <w:rPr>
          <w:rFonts w:hint="default" w:ascii="Arial" w:hAnsi="Arial" w:cs="Arial"/>
          <w:color w:val="000000" w:themeColor="text1"/>
          <w:lang w:val="pt-BR"/>
          <w14:textFill>
            <w14:solidFill>
              <w14:schemeClr w14:val="tx1"/>
            </w14:solidFill>
          </w14:textFill>
        </w:rPr>
        <w:t>Imagem 7 : container de cartas</w:t>
      </w:r>
    </w:p>
    <w:p w14:paraId="58E3983D">
      <w:pPr>
        <w:spacing w:line="360" w:lineRule="auto"/>
        <w:jc w:val="both"/>
        <w:rPr>
          <w:rFonts w:hint="default" w:ascii="Arial" w:hAnsi="Arial" w:cs="Arial"/>
          <w:color w:val="000000" w:themeColor="text1"/>
          <w:sz w:val="24"/>
          <w:szCs w:val="24"/>
          <w:lang w:val="pt-BR"/>
          <w14:textFill>
            <w14:solidFill>
              <w14:schemeClr w14:val="tx1"/>
            </w14:solidFill>
          </w14:textFill>
        </w:rPr>
      </w:pPr>
    </w:p>
    <w:p w14:paraId="50BE93CC">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847590" cy="1934210"/>
            <wp:effectExtent l="0" t="0" r="13970" b="1270"/>
            <wp:docPr id="6" name="Imagem 6" descr="IMG_20260826_17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MG_20260826_175008"/>
                    <pic:cNvPicPr>
                      <a:picLocks noChangeAspect="1"/>
                    </pic:cNvPicPr>
                  </pic:nvPicPr>
                  <pic:blipFill>
                    <a:blip r:embed="rId14"/>
                    <a:srcRect l="-1509" t="46006"/>
                    <a:stretch>
                      <a:fillRect/>
                    </a:stretch>
                  </pic:blipFill>
                  <pic:spPr>
                    <a:xfrm>
                      <a:off x="0" y="0"/>
                      <a:ext cx="4847590" cy="1934210"/>
                    </a:xfrm>
                    <a:prstGeom prst="rect">
                      <a:avLst/>
                    </a:prstGeom>
                  </pic:spPr>
                </pic:pic>
              </a:graphicData>
            </a:graphic>
          </wp:inline>
        </w:drawing>
      </w:r>
    </w:p>
    <w:p w14:paraId="6C47FA98">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8: espaço extra no compartimento de carta</w:t>
      </w:r>
    </w:p>
    <w:p w14:paraId="773D32C5">
      <w:pPr>
        <w:spacing w:line="360" w:lineRule="auto"/>
        <w:jc w:val="both"/>
        <w:rPr>
          <w:rFonts w:hint="default" w:ascii="Arial" w:hAnsi="Arial" w:cs="Arial"/>
          <w:color w:val="000000" w:themeColor="text1"/>
          <w:sz w:val="24"/>
          <w:szCs w:val="24"/>
          <w:lang w:val="pt-BR"/>
          <w14:textFill>
            <w14:solidFill>
              <w14:schemeClr w14:val="tx1"/>
            </w14:solidFill>
          </w14:textFill>
        </w:rPr>
      </w:pPr>
    </w:p>
    <w:p w14:paraId="24B50811">
      <w:pPr>
        <w:spacing w:line="360" w:lineRule="auto"/>
        <w:jc w:val="both"/>
        <w:rPr>
          <w:rFonts w:hint="default" w:ascii="Arial" w:hAnsi="Arial" w:cs="Arial"/>
          <w:color w:val="000000" w:themeColor="text1"/>
          <w:sz w:val="24"/>
          <w:szCs w:val="24"/>
          <w:lang w:val="pt-BR"/>
          <w14:textFill>
            <w14:solidFill>
              <w14:schemeClr w14:val="tx1"/>
            </w14:solidFill>
          </w14:textFill>
        </w:rPr>
      </w:pPr>
    </w:p>
    <w:p w14:paraId="231D124C">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775200" cy="3581400"/>
            <wp:effectExtent l="0" t="0" r="10160" b="0"/>
            <wp:docPr id="12" name="Imagem 12" descr="IMG_20260826_17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MG_20260826_174708"/>
                    <pic:cNvPicPr>
                      <a:picLocks noChangeAspect="1"/>
                    </pic:cNvPicPr>
                  </pic:nvPicPr>
                  <pic:blipFill>
                    <a:blip r:embed="rId15"/>
                    <a:stretch>
                      <a:fillRect/>
                    </a:stretch>
                  </pic:blipFill>
                  <pic:spPr>
                    <a:xfrm>
                      <a:off x="0" y="0"/>
                      <a:ext cx="4775200" cy="3581400"/>
                    </a:xfrm>
                    <a:prstGeom prst="rect">
                      <a:avLst/>
                    </a:prstGeom>
                  </pic:spPr>
                </pic:pic>
              </a:graphicData>
            </a:graphic>
          </wp:inline>
        </w:drawing>
      </w:r>
    </w:p>
    <w:p w14:paraId="11206F47">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9: compartimento de acessórios</w:t>
      </w:r>
    </w:p>
    <w:p w14:paraId="2DAD7757">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817110" cy="3613150"/>
            <wp:effectExtent l="0" t="0" r="13970" b="13970"/>
            <wp:docPr id="13" name="Imagem 13" descr="IMG_20260826_17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MG_20260826_173253"/>
                    <pic:cNvPicPr>
                      <a:picLocks noChangeAspect="1"/>
                    </pic:cNvPicPr>
                  </pic:nvPicPr>
                  <pic:blipFill>
                    <a:blip r:embed="rId16"/>
                    <a:stretch>
                      <a:fillRect/>
                    </a:stretch>
                  </pic:blipFill>
                  <pic:spPr>
                    <a:xfrm>
                      <a:off x="0" y="0"/>
                      <a:ext cx="4817110" cy="3613150"/>
                    </a:xfrm>
                    <a:prstGeom prst="rect">
                      <a:avLst/>
                    </a:prstGeom>
                  </pic:spPr>
                </pic:pic>
              </a:graphicData>
            </a:graphic>
          </wp:inline>
        </w:drawing>
      </w:r>
    </w:p>
    <w:p w14:paraId="41F91042">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10: Tamanho de bandejas</w:t>
      </w:r>
    </w:p>
    <w:p w14:paraId="763102C9">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702175" cy="3526790"/>
            <wp:effectExtent l="0" t="0" r="6985" b="8890"/>
            <wp:docPr id="11" name="Imagem 11" descr="IMG_20260826_17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MG_20260826_174742"/>
                    <pic:cNvPicPr>
                      <a:picLocks noChangeAspect="1"/>
                    </pic:cNvPicPr>
                  </pic:nvPicPr>
                  <pic:blipFill>
                    <a:blip r:embed="rId17"/>
                    <a:stretch>
                      <a:fillRect/>
                    </a:stretch>
                  </pic:blipFill>
                  <pic:spPr>
                    <a:xfrm>
                      <a:off x="0" y="0"/>
                      <a:ext cx="4702175" cy="3526790"/>
                    </a:xfrm>
                    <a:prstGeom prst="rect">
                      <a:avLst/>
                    </a:prstGeom>
                  </pic:spPr>
                </pic:pic>
              </a:graphicData>
            </a:graphic>
          </wp:inline>
        </w:drawing>
      </w:r>
    </w:p>
    <w:p w14:paraId="03D37BF5">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 xml:space="preserve">Imagem 11: flexibilidade na organização das bandejas </w:t>
      </w:r>
    </w:p>
    <w:p w14:paraId="648AD689">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drawing>
          <wp:inline distT="0" distB="0" distL="114300" distR="114300">
            <wp:extent cx="4547235" cy="3410585"/>
            <wp:effectExtent l="0" t="0" r="9525" b="3175"/>
            <wp:docPr id="9" name="Imagem 9" descr="IMG_20260826_17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MG_20260826_174853"/>
                    <pic:cNvPicPr>
                      <a:picLocks noChangeAspect="1"/>
                    </pic:cNvPicPr>
                  </pic:nvPicPr>
                  <pic:blipFill>
                    <a:blip r:embed="rId18"/>
                    <a:stretch>
                      <a:fillRect/>
                    </a:stretch>
                  </pic:blipFill>
                  <pic:spPr>
                    <a:xfrm>
                      <a:off x="0" y="0"/>
                      <a:ext cx="4547235" cy="3410585"/>
                    </a:xfrm>
                    <a:prstGeom prst="rect">
                      <a:avLst/>
                    </a:prstGeom>
                  </pic:spPr>
                </pic:pic>
              </a:graphicData>
            </a:graphic>
          </wp:inline>
        </w:drawing>
      </w:r>
    </w:p>
    <w:p w14:paraId="7B2BCEDA">
      <w:pPr>
        <w:spacing w:line="360" w:lineRule="auto"/>
        <w:jc w:val="both"/>
        <w:rPr>
          <w:rFonts w:hint="default" w:ascii="Arial" w:hAnsi="Arial" w:cs="Arial"/>
          <w:color w:val="000000" w:themeColor="text1"/>
          <w:sz w:val="24"/>
          <w:szCs w:val="24"/>
          <w:lang w:val="pt-BR"/>
          <w14:textFill>
            <w14:solidFill>
              <w14:schemeClr w14:val="tx1"/>
            </w14:solidFill>
          </w14:textFill>
        </w:rPr>
      </w:pPr>
      <w:r>
        <w:rPr>
          <w:rFonts w:hint="default" w:ascii="Arial" w:hAnsi="Arial" w:cs="Arial"/>
          <w:color w:val="000000" w:themeColor="text1"/>
          <w:sz w:val="24"/>
          <w:szCs w:val="24"/>
          <w:lang w:val="pt-BR"/>
          <w14:textFill>
            <w14:solidFill>
              <w14:schemeClr w14:val="tx1"/>
            </w14:solidFill>
          </w14:textFill>
        </w:rPr>
        <w:t>Imagem 12: Estruturas das tampas</w:t>
      </w:r>
    </w:p>
    <w:p w14:paraId="5157FA83">
      <w:pPr>
        <w:spacing w:line="360" w:lineRule="auto"/>
        <w:jc w:val="both"/>
        <w:rPr>
          <w:rFonts w:hint="default" w:ascii="Arial" w:hAnsi="Arial" w:cs="Arial"/>
          <w:color w:val="000000" w:themeColor="text1"/>
          <w:sz w:val="24"/>
          <w:szCs w:val="24"/>
          <w:lang w:val="pt-BR"/>
          <w14:textFill>
            <w14:solidFill>
              <w14:schemeClr w14:val="tx1"/>
            </w14:solidFill>
          </w14:textFill>
        </w:rPr>
      </w:pPr>
    </w:p>
    <w:p w14:paraId="3EA06974">
      <w:pPr>
        <w:spacing w:line="360" w:lineRule="auto"/>
        <w:jc w:val="both"/>
        <w:rPr>
          <w:rFonts w:hint="default" w:ascii="Arial" w:hAnsi="Arial" w:cs="Arial"/>
          <w:color w:val="000000" w:themeColor="text1"/>
          <w:lang w:val="pt-BR"/>
          <w14:textFill>
            <w14:solidFill>
              <w14:schemeClr w14:val="tx1"/>
            </w14:solidFill>
          </w14:textFill>
        </w:rPr>
      </w:pPr>
    </w:p>
    <w:p w14:paraId="20660AB4">
      <w:pPr>
        <w:pStyle w:val="3"/>
      </w:pPr>
      <w:bookmarkStart w:id="8" w:name="_Toc73287565"/>
      <w:r>
        <w:t>Onde encontrar</w:t>
      </w:r>
      <w:bookmarkEnd w:id="8"/>
    </w:p>
    <w:p w14:paraId="0554B4E0">
      <w:pPr>
        <w:spacing w:line="36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fldChar w:fldCharType="begin"/>
      </w:r>
      <w:r>
        <w:rPr>
          <w:rFonts w:hint="default" w:ascii="Arial" w:hAnsi="Arial" w:cs="Arial"/>
          <w:color w:val="000000" w:themeColor="text1"/>
          <w:sz w:val="24"/>
          <w:szCs w:val="24"/>
          <w14:textFill>
            <w14:solidFill>
              <w14:schemeClr w14:val="tx1"/>
            </w14:solidFill>
          </w14:textFill>
        </w:rPr>
        <w:instrText xml:space="preserve"> HYPERLINK "https://www.asmodee.com.br/gamegenic-game-castle-black-green/produto/GMG501" </w:instrText>
      </w:r>
      <w:r>
        <w:rPr>
          <w:rFonts w:hint="default" w:ascii="Arial" w:hAnsi="Arial" w:cs="Arial"/>
          <w:color w:val="000000" w:themeColor="text1"/>
          <w:sz w:val="24"/>
          <w:szCs w:val="24"/>
          <w14:textFill>
            <w14:solidFill>
              <w14:schemeClr w14:val="tx1"/>
            </w14:solidFill>
          </w14:textFill>
        </w:rPr>
        <w:fldChar w:fldCharType="separate"/>
      </w:r>
      <w:r>
        <w:rPr>
          <w:rStyle w:val="8"/>
          <w:rFonts w:hint="default" w:ascii="Arial" w:hAnsi="Arial" w:cs="Arial"/>
          <w:sz w:val="24"/>
          <w:szCs w:val="24"/>
        </w:rPr>
        <w:t>https://www.asmodee.com.br/gamegenic-game-castle-black-green/produto/GMG501</w:t>
      </w:r>
      <w:r>
        <w:rPr>
          <w:rFonts w:hint="default" w:ascii="Arial" w:hAnsi="Arial" w:cs="Arial"/>
          <w:color w:val="000000" w:themeColor="text1"/>
          <w:sz w:val="24"/>
          <w:szCs w:val="24"/>
          <w14:textFill>
            <w14:solidFill>
              <w14:schemeClr w14:val="tx1"/>
            </w14:solidFill>
          </w14:textFill>
        </w:rPr>
        <w:fldChar w:fldCharType="end"/>
      </w:r>
    </w:p>
    <w:p w14:paraId="05B56041">
      <w:pPr>
        <w:spacing w:line="360" w:lineRule="auto"/>
        <w:jc w:val="both"/>
        <w:rPr>
          <w:rFonts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fldChar w:fldCharType="begin"/>
      </w:r>
      <w:r>
        <w:rPr>
          <w:rFonts w:hint="default" w:ascii="Arial" w:hAnsi="Arial" w:cs="Arial"/>
          <w:color w:val="000000" w:themeColor="text1"/>
          <w:sz w:val="24"/>
          <w:szCs w:val="24"/>
          <w14:textFill>
            <w14:solidFill>
              <w14:schemeClr w14:val="tx1"/>
            </w14:solidFill>
          </w14:textFill>
        </w:rPr>
        <w:instrText xml:space="preserve"> HYPERLINK "https://www.ligamagic.com.br/?view=cards%2Fcard&amp;card=Game+Castle+Gamegenic+-+Black+and+Green&amp;tipo=1" </w:instrText>
      </w:r>
      <w:r>
        <w:rPr>
          <w:rFonts w:hint="default" w:ascii="Arial" w:hAnsi="Arial" w:cs="Arial"/>
          <w:color w:val="000000" w:themeColor="text1"/>
          <w:sz w:val="24"/>
          <w:szCs w:val="24"/>
          <w14:textFill>
            <w14:solidFill>
              <w14:schemeClr w14:val="tx1"/>
            </w14:solidFill>
          </w14:textFill>
        </w:rPr>
        <w:fldChar w:fldCharType="separate"/>
      </w:r>
      <w:r>
        <w:rPr>
          <w:rStyle w:val="8"/>
          <w:rFonts w:hint="default" w:ascii="Arial" w:hAnsi="Arial" w:cs="Arial"/>
          <w:sz w:val="24"/>
          <w:szCs w:val="24"/>
        </w:rPr>
        <w:t>https://www.ligamagic.com.br/?view=cards%2Fcard&amp;card=Game+Castle+Gamegenic+-+Black+and+Green&amp;tipo=1</w:t>
      </w:r>
      <w:r>
        <w:rPr>
          <w:rFonts w:hint="default" w:ascii="Arial" w:hAnsi="Arial" w:cs="Arial"/>
          <w:color w:val="000000" w:themeColor="text1"/>
          <w:sz w:val="24"/>
          <w:szCs w:val="24"/>
          <w14:textFill>
            <w14:solidFill>
              <w14:schemeClr w14:val="tx1"/>
            </w14:solidFill>
          </w14:textFill>
        </w:rPr>
        <w:fldChar w:fldCharType="end"/>
      </w:r>
      <w:r>
        <w:rPr>
          <w:rFonts w:ascii="Arial" w:hAnsi="Arial" w:cs="Arial"/>
          <w:color w:val="000000" w:themeColor="text1"/>
          <w:sz w:val="24"/>
          <w:szCs w:val="24"/>
          <w14:textFill>
            <w14:solidFill>
              <w14:schemeClr w14:val="tx1"/>
            </w14:solidFill>
          </w14:textFill>
        </w:rPr>
        <w:t xml:space="preserve"> </w:t>
      </w:r>
    </w:p>
    <w:p w14:paraId="3CFD68F8">
      <w:pPr>
        <w:spacing w:line="360" w:lineRule="auto"/>
        <w:jc w:val="both"/>
        <w:rPr>
          <w:rFonts w:ascii="Arial" w:hAnsi="Arial" w:eastAsia="Arial" w:cs="Arial"/>
          <w:color w:val="000000" w:themeColor="text1"/>
          <w:sz w:val="24"/>
          <w:szCs w:val="24"/>
          <w14:textFill>
            <w14:solidFill>
              <w14:schemeClr w14:val="tx1"/>
            </w14:solidFill>
          </w14:textFill>
        </w:rPr>
      </w:pPr>
    </w:p>
    <w:p w14:paraId="29DFD3BF">
      <w:pPr>
        <w:pStyle w:val="2"/>
      </w:pPr>
      <w:bookmarkStart w:id="9" w:name="_Toc73287566"/>
      <w:r>
        <w:t>CONCLUSÃO</w:t>
      </w:r>
      <w:bookmarkEnd w:id="9"/>
    </w:p>
    <w:p w14:paraId="0A48DF89">
      <w:pPr>
        <w:spacing w:line="360" w:lineRule="auto"/>
        <w:jc w:val="both"/>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 xml:space="preserve">Após muito refletir sobre o qual objeto iria fazer decide escolher algo que não tenho tanto tempo de uso mas que tinha anos de experiência utilizando produtos similares ou que cumprem a mesma função em escalas diferentes, e mesmo com essa experiência previa notei que muitos detalhes tinham passados despercebidos, tanto na parte de utilização quando no design e como pequenas decisões que não eram aparentes ou explícitos melhoravam a experiência final dos consumidores, me ajudou muito a treinar meu olhar analítico e pontos que precisam ser pensados, medidos, testado e re-testado para garantir a percepção de qualidade quantitativa aos clientes mesmo antes do produto ser finalizado. </w:t>
      </w:r>
    </w:p>
    <w:p w14:paraId="2F1CE6AF">
      <w:pPr>
        <w:spacing w:line="360" w:lineRule="auto"/>
        <w:jc w:val="both"/>
        <w:rPr>
          <w:rFonts w:ascii="Arial" w:hAnsi="Arial" w:eastAsia="Arial" w:cs="Arial"/>
          <w:b/>
          <w:color w:val="000000" w:themeColor="text1"/>
          <w:sz w:val="24"/>
          <w:szCs w:val="24"/>
          <w14:textFill>
            <w14:solidFill>
              <w14:schemeClr w14:val="tx1"/>
            </w14:solidFill>
          </w14:textFill>
        </w:rPr>
      </w:pPr>
    </w:p>
    <w:p w14:paraId="02CA85C5">
      <w:pPr>
        <w:pStyle w:val="2"/>
      </w:pPr>
      <w:bookmarkStart w:id="10" w:name="_Toc73287567"/>
      <w:r>
        <w:t>REFERÊNCIAS BIBLIOGRÁFICAS</w:t>
      </w:r>
      <w:bookmarkEnd w:id="10"/>
      <w:r>
        <w:t xml:space="preserve"> </w:t>
      </w:r>
    </w:p>
    <w:p w14:paraId="01A12F70">
      <w:pPr>
        <w:pStyle w:val="14"/>
        <w:keepNext w:val="0"/>
        <w:keepLines w:val="0"/>
        <w:widowControl/>
        <w:suppressLineNumbers w:val="0"/>
        <w:rPr>
          <w:rFonts w:hint="default" w:ascii="Arial" w:hAnsi="Arial" w:cs="Arial"/>
          <w:sz w:val="24"/>
          <w:szCs w:val="24"/>
        </w:rPr>
      </w:pPr>
      <w:r>
        <w:rPr>
          <w:rFonts w:hint="default" w:ascii="Arial" w:hAnsi="Arial" w:cs="Arial"/>
          <w:sz w:val="24"/>
          <w:szCs w:val="24"/>
        </w:rPr>
        <w:t xml:space="preserve">GAMEGENIC. </w:t>
      </w:r>
      <w:r>
        <w:rPr>
          <w:rStyle w:val="7"/>
          <w:rFonts w:hint="default" w:ascii="Arial" w:hAnsi="Arial" w:cs="Arial"/>
          <w:sz w:val="24"/>
          <w:szCs w:val="24"/>
        </w:rPr>
        <w:t>Game Castle</w:t>
      </w:r>
      <w:r>
        <w:rPr>
          <w:rFonts w:hint="default" w:ascii="Arial" w:hAnsi="Arial" w:cs="Arial"/>
          <w:sz w:val="24"/>
          <w:szCs w:val="24"/>
        </w:rPr>
        <w:t xml:space="preserve">. [S. l.]: Gamegenic, [s. d.]. Disponível em: </w:t>
      </w:r>
      <w:r>
        <w:rPr>
          <w:rFonts w:hint="default" w:ascii="Arial" w:hAnsi="Arial" w:cs="Arial"/>
          <w:sz w:val="24"/>
          <w:szCs w:val="24"/>
        </w:rPr>
        <w:fldChar w:fldCharType="begin"/>
      </w:r>
      <w:r>
        <w:rPr>
          <w:rFonts w:hint="default" w:ascii="Arial" w:hAnsi="Arial" w:cs="Arial"/>
          <w:sz w:val="24"/>
          <w:szCs w:val="24"/>
        </w:rPr>
        <w:instrText xml:space="preserve"> HYPERLINK "https://www.gamegenic.com/product/game-castle/?attribute_pa_color=black-green" </w:instrText>
      </w:r>
      <w:r>
        <w:rPr>
          <w:rFonts w:hint="default" w:ascii="Arial" w:hAnsi="Arial" w:cs="Arial"/>
          <w:sz w:val="24"/>
          <w:szCs w:val="24"/>
        </w:rPr>
        <w:fldChar w:fldCharType="separate"/>
      </w:r>
      <w:r>
        <w:rPr>
          <w:rStyle w:val="8"/>
          <w:rFonts w:hint="default" w:ascii="Arial" w:hAnsi="Arial" w:cs="Arial"/>
          <w:sz w:val="24"/>
          <w:szCs w:val="24"/>
        </w:rPr>
        <w:t>https://www.gamegenic.com/product/game-castle/?attribute_pa_color=black-green</w:t>
      </w:r>
      <w:r>
        <w:rPr>
          <w:rFonts w:hint="default" w:ascii="Arial" w:hAnsi="Arial" w:cs="Arial"/>
          <w:sz w:val="24"/>
          <w:szCs w:val="24"/>
        </w:rPr>
        <w:fldChar w:fldCharType="end"/>
      </w:r>
      <w:r>
        <w:rPr>
          <w:rFonts w:hint="default" w:ascii="Arial" w:hAnsi="Arial" w:cs="Arial"/>
          <w:sz w:val="24"/>
          <w:szCs w:val="24"/>
        </w:rPr>
        <w:t>. Acesso em: 26 ago. 2026.</w:t>
      </w:r>
    </w:p>
    <w:p w14:paraId="36988902">
      <w:pPr>
        <w:pStyle w:val="14"/>
        <w:keepNext w:val="0"/>
        <w:keepLines w:val="0"/>
        <w:widowControl/>
        <w:suppressLineNumbers w:val="0"/>
        <w:rPr>
          <w:rFonts w:hint="default" w:ascii="Arial" w:hAnsi="Arial" w:cs="Arial"/>
          <w:sz w:val="24"/>
          <w:szCs w:val="24"/>
        </w:rPr>
      </w:pPr>
      <w:r>
        <w:rPr>
          <w:rFonts w:hint="default" w:ascii="Arial" w:hAnsi="Arial" w:cs="Arial"/>
          <w:sz w:val="24"/>
          <w:szCs w:val="24"/>
        </w:rPr>
        <w:t xml:space="preserve">YOUTUBE. </w:t>
      </w:r>
      <w:r>
        <w:rPr>
          <w:rStyle w:val="7"/>
          <w:rFonts w:hint="default" w:ascii="Arial" w:hAnsi="Arial" w:cs="Arial"/>
          <w:sz w:val="24"/>
          <w:szCs w:val="24"/>
        </w:rPr>
        <w:t>Game Castle</w:t>
      </w:r>
      <w:r>
        <w:rPr>
          <w:rFonts w:hint="default" w:ascii="Arial" w:hAnsi="Arial" w:cs="Arial"/>
          <w:sz w:val="24"/>
          <w:szCs w:val="24"/>
        </w:rPr>
        <w:t xml:space="preserve">. [S. l.]: YouTube, [s. d.]. Disponível em: </w:t>
      </w:r>
      <w:r>
        <w:rPr>
          <w:rFonts w:hint="default" w:ascii="Arial" w:hAnsi="Arial" w:cs="Arial"/>
          <w:sz w:val="24"/>
          <w:szCs w:val="24"/>
        </w:rPr>
        <w:fldChar w:fldCharType="begin"/>
      </w:r>
      <w:r>
        <w:rPr>
          <w:rFonts w:hint="default" w:ascii="Arial" w:hAnsi="Arial" w:cs="Arial"/>
          <w:sz w:val="24"/>
          <w:szCs w:val="24"/>
        </w:rPr>
        <w:instrText xml:space="preserve"> HYPERLINK "https://www.youtube.com/watch?v=YdPIqyZodhk" </w:instrText>
      </w:r>
      <w:r>
        <w:rPr>
          <w:rFonts w:hint="default" w:ascii="Arial" w:hAnsi="Arial" w:cs="Arial"/>
          <w:sz w:val="24"/>
          <w:szCs w:val="24"/>
        </w:rPr>
        <w:fldChar w:fldCharType="separate"/>
      </w:r>
      <w:r>
        <w:rPr>
          <w:rStyle w:val="8"/>
          <w:rFonts w:hint="default" w:ascii="Arial" w:hAnsi="Arial" w:cs="Arial"/>
          <w:sz w:val="24"/>
          <w:szCs w:val="24"/>
        </w:rPr>
        <w:t>https://www.youtube.com/watch?v=YdPIqyZodhk</w:t>
      </w:r>
      <w:r>
        <w:rPr>
          <w:rFonts w:hint="default" w:ascii="Arial" w:hAnsi="Arial" w:cs="Arial"/>
          <w:sz w:val="24"/>
          <w:szCs w:val="24"/>
        </w:rPr>
        <w:fldChar w:fldCharType="end"/>
      </w:r>
      <w:r>
        <w:rPr>
          <w:rFonts w:hint="default" w:ascii="Arial" w:hAnsi="Arial" w:cs="Arial"/>
          <w:sz w:val="24"/>
          <w:szCs w:val="24"/>
        </w:rPr>
        <w:t>. Acesso em: 26 ago. 2026.</w:t>
      </w:r>
    </w:p>
    <w:p w14:paraId="48E41988">
      <w:pPr>
        <w:spacing w:line="360" w:lineRule="auto"/>
        <w:jc w:val="both"/>
        <w:rPr>
          <w:rFonts w:hint="default" w:ascii="Arial" w:hAnsi="Arial" w:eastAsia="Arial" w:cs="Arial"/>
          <w:color w:val="000000" w:themeColor="text1"/>
          <w:sz w:val="24"/>
          <w:szCs w:val="24"/>
          <w14:textFill>
            <w14:solidFill>
              <w14:schemeClr w14:val="tx1"/>
            </w14:solidFill>
          </w14:textFill>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51AB0"/>
    <w:multiLevelType w:val="multilevel"/>
    <w:tmpl w:val="3E951AB0"/>
    <w:lvl w:ilvl="0" w:tentative="0">
      <w:start w:val="1"/>
      <w:numFmt w:val="decimal"/>
      <w:pStyle w:val="2"/>
      <w:lvlText w:val="%1."/>
      <w:lvlJc w:val="left"/>
      <w:pPr>
        <w:ind w:left="720" w:hanging="360"/>
      </w:pPr>
    </w:lvl>
    <w:lvl w:ilvl="1" w:tentative="0">
      <w:start w:val="1"/>
      <w:numFmt w:val="decimal"/>
      <w:pStyle w:val="3"/>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1AA"/>
    <w:rsid w:val="00005ABB"/>
    <w:rsid w:val="000142A2"/>
    <w:rsid w:val="00026929"/>
    <w:rsid w:val="00047EDE"/>
    <w:rsid w:val="0005157A"/>
    <w:rsid w:val="000856CE"/>
    <w:rsid w:val="000A411C"/>
    <w:rsid w:val="000E2050"/>
    <w:rsid w:val="00117BBE"/>
    <w:rsid w:val="0026761D"/>
    <w:rsid w:val="002B02DB"/>
    <w:rsid w:val="002B554F"/>
    <w:rsid w:val="00353E6F"/>
    <w:rsid w:val="003A5F67"/>
    <w:rsid w:val="0043034A"/>
    <w:rsid w:val="004B692B"/>
    <w:rsid w:val="004E77D7"/>
    <w:rsid w:val="00550481"/>
    <w:rsid w:val="005B045C"/>
    <w:rsid w:val="005D0B90"/>
    <w:rsid w:val="006A37EE"/>
    <w:rsid w:val="006B1007"/>
    <w:rsid w:val="006E3875"/>
    <w:rsid w:val="0070389C"/>
    <w:rsid w:val="00847CD2"/>
    <w:rsid w:val="008511AA"/>
    <w:rsid w:val="00851D4E"/>
    <w:rsid w:val="00872A27"/>
    <w:rsid w:val="00896728"/>
    <w:rsid w:val="008B0BEB"/>
    <w:rsid w:val="0090332E"/>
    <w:rsid w:val="00931784"/>
    <w:rsid w:val="009400B1"/>
    <w:rsid w:val="00962C67"/>
    <w:rsid w:val="00977CB2"/>
    <w:rsid w:val="00BF6C2C"/>
    <w:rsid w:val="00C3332E"/>
    <w:rsid w:val="00C43E07"/>
    <w:rsid w:val="00DD5BEA"/>
    <w:rsid w:val="00DD616E"/>
    <w:rsid w:val="00DE1CF8"/>
    <w:rsid w:val="00E209A6"/>
    <w:rsid w:val="00EA259A"/>
    <w:rsid w:val="00EC49AD"/>
    <w:rsid w:val="00F94DD5"/>
    <w:rsid w:val="02FA35AA"/>
    <w:rsid w:val="03FA7EBB"/>
    <w:rsid w:val="15783633"/>
    <w:rsid w:val="17C039F5"/>
    <w:rsid w:val="1B3D6890"/>
    <w:rsid w:val="27E03ADE"/>
    <w:rsid w:val="55AA41E6"/>
    <w:rsid w:val="5BA5182C"/>
    <w:rsid w:val="6DB67BDE"/>
    <w:rsid w:val="70B14BF2"/>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paragraph" w:styleId="2">
    <w:name w:val="heading 1"/>
    <w:basedOn w:val="1"/>
    <w:next w:val="1"/>
    <w:link w:val="23"/>
    <w:qFormat/>
    <w:uiPriority w:val="9"/>
    <w:pPr>
      <w:numPr>
        <w:ilvl w:val="0"/>
        <w:numId w:val="1"/>
      </w:numPr>
      <w:spacing w:line="360" w:lineRule="auto"/>
      <w:jc w:val="both"/>
      <w:outlineLvl w:val="0"/>
    </w:pPr>
    <w:rPr>
      <w:rFonts w:ascii="Arial" w:hAnsi="Arial" w:eastAsia="Arial" w:cs="Arial"/>
      <w:b/>
      <w:color w:val="000000" w:themeColor="text1"/>
      <w:sz w:val="24"/>
      <w:szCs w:val="24"/>
      <w14:textFill>
        <w14:solidFill>
          <w14:schemeClr w14:val="tx1"/>
        </w14:solidFill>
      </w14:textFill>
    </w:rPr>
  </w:style>
  <w:style w:type="paragraph" w:styleId="3">
    <w:name w:val="heading 2"/>
    <w:basedOn w:val="4"/>
    <w:next w:val="1"/>
    <w:link w:val="24"/>
    <w:unhideWhenUsed/>
    <w:qFormat/>
    <w:uiPriority w:val="9"/>
    <w:pPr>
      <w:numPr>
        <w:ilvl w:val="1"/>
        <w:numId w:val="1"/>
      </w:numPr>
      <w:spacing w:line="360" w:lineRule="auto"/>
      <w:jc w:val="both"/>
      <w:outlineLvl w:val="1"/>
    </w:pPr>
    <w:rPr>
      <w:rFonts w:ascii="Arial" w:hAnsi="Arial" w:cs="Arial"/>
      <w:b/>
      <w:color w:val="000000" w:themeColor="text1"/>
      <w:sz w:val="24"/>
      <w:szCs w:val="24"/>
      <w14:textFill>
        <w14:solidFill>
          <w14:schemeClr w14:val="tx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7">
    <w:name w:val="Strong"/>
    <w:basedOn w:val="5"/>
    <w:qFormat/>
    <w:uiPriority w:val="22"/>
    <w:rPr>
      <w:b/>
      <w:bCs/>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toc 2"/>
    <w:basedOn w:val="1"/>
    <w:next w:val="1"/>
    <w:autoRedefine/>
    <w:unhideWhenUsed/>
    <w:qFormat/>
    <w:uiPriority w:val="39"/>
    <w:pPr>
      <w:spacing w:before="120" w:after="0"/>
      <w:ind w:left="220"/>
    </w:pPr>
    <w:rPr>
      <w:b/>
      <w:bCs/>
    </w:rPr>
  </w:style>
  <w:style w:type="paragraph" w:styleId="10">
    <w:name w:val="toc 9"/>
    <w:basedOn w:val="1"/>
    <w:next w:val="1"/>
    <w:autoRedefine/>
    <w:semiHidden/>
    <w:unhideWhenUsed/>
    <w:qFormat/>
    <w:uiPriority w:val="39"/>
    <w:pPr>
      <w:spacing w:after="0"/>
      <w:ind w:left="1760"/>
    </w:pPr>
    <w:rPr>
      <w:sz w:val="20"/>
      <w:szCs w:val="20"/>
    </w:rPr>
  </w:style>
  <w:style w:type="paragraph" w:styleId="11">
    <w:name w:val="toc 6"/>
    <w:basedOn w:val="1"/>
    <w:next w:val="1"/>
    <w:autoRedefine/>
    <w:semiHidden/>
    <w:unhideWhenUsed/>
    <w:qFormat/>
    <w:uiPriority w:val="39"/>
    <w:pPr>
      <w:spacing w:after="0"/>
      <w:ind w:left="1100"/>
    </w:pPr>
    <w:rPr>
      <w:sz w:val="20"/>
      <w:szCs w:val="20"/>
    </w:rPr>
  </w:style>
  <w:style w:type="paragraph" w:styleId="12">
    <w:name w:val="toc 5"/>
    <w:basedOn w:val="1"/>
    <w:next w:val="1"/>
    <w:autoRedefine/>
    <w:semiHidden/>
    <w:unhideWhenUsed/>
    <w:qFormat/>
    <w:uiPriority w:val="39"/>
    <w:pPr>
      <w:spacing w:after="0"/>
      <w:ind w:left="880"/>
    </w:pPr>
    <w:rPr>
      <w:sz w:val="20"/>
      <w:szCs w:val="20"/>
    </w:rPr>
  </w:style>
  <w:style w:type="paragraph" w:styleId="13">
    <w:name w:val="Title"/>
    <w:basedOn w:val="1"/>
    <w:next w:val="1"/>
    <w:link w:val="21"/>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5">
    <w:name w:val="toc 4"/>
    <w:basedOn w:val="1"/>
    <w:next w:val="1"/>
    <w:autoRedefine/>
    <w:semiHidden/>
    <w:unhideWhenUsed/>
    <w:qFormat/>
    <w:uiPriority w:val="39"/>
    <w:pPr>
      <w:spacing w:after="0"/>
      <w:ind w:left="660"/>
    </w:pPr>
    <w:rPr>
      <w:sz w:val="20"/>
      <w:szCs w:val="20"/>
    </w:rPr>
  </w:style>
  <w:style w:type="paragraph" w:styleId="16">
    <w:name w:val="toc 8"/>
    <w:basedOn w:val="1"/>
    <w:next w:val="1"/>
    <w:autoRedefine/>
    <w:semiHidden/>
    <w:unhideWhenUsed/>
    <w:qFormat/>
    <w:uiPriority w:val="39"/>
    <w:pPr>
      <w:spacing w:after="0"/>
      <w:ind w:left="1540"/>
    </w:pPr>
    <w:rPr>
      <w:sz w:val="20"/>
      <w:szCs w:val="20"/>
    </w:rPr>
  </w:style>
  <w:style w:type="paragraph" w:styleId="17">
    <w:name w:val="toc 7"/>
    <w:basedOn w:val="1"/>
    <w:next w:val="1"/>
    <w:autoRedefine/>
    <w:semiHidden/>
    <w:unhideWhenUsed/>
    <w:qFormat/>
    <w:uiPriority w:val="39"/>
    <w:pPr>
      <w:spacing w:after="0"/>
      <w:ind w:left="1320"/>
    </w:pPr>
    <w:rPr>
      <w:sz w:val="20"/>
      <w:szCs w:val="20"/>
    </w:rPr>
  </w:style>
  <w:style w:type="paragraph" w:styleId="18">
    <w:name w:val="toc 3"/>
    <w:basedOn w:val="1"/>
    <w:next w:val="1"/>
    <w:autoRedefine/>
    <w:semiHidden/>
    <w:unhideWhenUsed/>
    <w:qFormat/>
    <w:uiPriority w:val="39"/>
    <w:pPr>
      <w:spacing w:after="0"/>
      <w:ind w:left="440"/>
    </w:pPr>
    <w:rPr>
      <w:sz w:val="20"/>
      <w:szCs w:val="20"/>
    </w:rPr>
  </w:style>
  <w:style w:type="paragraph" w:styleId="19">
    <w:name w:val="Subtitle"/>
    <w:basedOn w:val="1"/>
    <w:next w:val="1"/>
    <w:link w:val="22"/>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0">
    <w:name w:val="toc 1"/>
    <w:basedOn w:val="1"/>
    <w:next w:val="1"/>
    <w:autoRedefine/>
    <w:unhideWhenUsed/>
    <w:qFormat/>
    <w:uiPriority w:val="39"/>
    <w:pPr>
      <w:spacing w:before="120" w:after="0"/>
    </w:pPr>
    <w:rPr>
      <w:b/>
      <w:bCs/>
      <w:i/>
      <w:iCs/>
      <w:sz w:val="24"/>
      <w:szCs w:val="24"/>
    </w:rPr>
  </w:style>
  <w:style w:type="character" w:customStyle="1" w:styleId="21">
    <w:name w:val="Título Char"/>
    <w:basedOn w:val="5"/>
    <w:link w:val="13"/>
    <w:qFormat/>
    <w:uiPriority w:val="10"/>
    <w:rPr>
      <w:rFonts w:asciiTheme="majorHAnsi" w:hAnsiTheme="majorHAnsi" w:eastAsiaTheme="majorEastAsia" w:cstheme="majorBidi"/>
      <w:spacing w:val="-10"/>
      <w:kern w:val="28"/>
      <w:sz w:val="56"/>
      <w:szCs w:val="56"/>
    </w:rPr>
  </w:style>
  <w:style w:type="character" w:customStyle="1" w:styleId="22">
    <w:name w:val="Subtítulo Char"/>
    <w:basedOn w:val="5"/>
    <w:link w:val="19"/>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23">
    <w:name w:val="Título 1 Char"/>
    <w:basedOn w:val="5"/>
    <w:link w:val="2"/>
    <w:qFormat/>
    <w:uiPriority w:val="9"/>
    <w:rPr>
      <w:rFonts w:ascii="Arial" w:hAnsi="Arial" w:eastAsia="Arial" w:cs="Arial"/>
      <w:b/>
      <w:color w:val="000000" w:themeColor="text1"/>
      <w:sz w:val="24"/>
      <w:szCs w:val="24"/>
      <w14:textFill>
        <w14:solidFill>
          <w14:schemeClr w14:val="tx1"/>
        </w14:solidFill>
      </w14:textFill>
    </w:rPr>
  </w:style>
  <w:style w:type="character" w:customStyle="1" w:styleId="24">
    <w:name w:val="Título 2 Char"/>
    <w:basedOn w:val="5"/>
    <w:link w:val="3"/>
    <w:qFormat/>
    <w:uiPriority w:val="9"/>
    <w:rPr>
      <w:rFonts w:ascii="Arial" w:hAnsi="Arial" w:cs="Arial"/>
      <w:b/>
      <w:color w:val="000000" w:themeColor="text1"/>
      <w:sz w:val="24"/>
      <w:szCs w:val="24"/>
      <w14:textFill>
        <w14:solidFill>
          <w14:schemeClr w14:val="tx1"/>
        </w14:solidFill>
      </w14:textFill>
    </w:rPr>
  </w:style>
  <w:style w:type="paragraph" w:customStyle="1" w:styleId="25">
    <w:name w:val="TOC Heading"/>
    <w:basedOn w:val="2"/>
    <w:next w:val="1"/>
    <w:unhideWhenUsed/>
    <w:qFormat/>
    <w:uiPriority w:val="39"/>
    <w:pPr>
      <w:keepNext/>
      <w:keepLines/>
      <w:numPr>
        <w:ilvl w:val="0"/>
        <w:numId w:val="0"/>
      </w:numPr>
      <w:spacing w:before="480" w:after="0" w:line="276" w:lineRule="auto"/>
      <w:jc w:val="left"/>
      <w:outlineLvl w:val="9"/>
    </w:pPr>
    <w:rPr>
      <w:rFonts w:asciiTheme="majorHAnsi" w:hAnsiTheme="majorHAnsi" w:eastAsiaTheme="majorEastAsia" w:cstheme="majorBidi"/>
      <w:bCs/>
      <w:color w:val="2E75B6" w:themeColor="accent1" w:themeShade="BF"/>
      <w:sz w:val="28"/>
      <w:szCs w:val="28"/>
      <w:lang w:eastAsia="pt-B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213</Words>
  <Characters>1049</Characters>
  <Lines>1</Lines>
  <Paragraphs>1</Paragraphs>
  <TotalTime>150</TotalTime>
  <ScaleCrop>false</ScaleCrop>
  <LinksUpToDate>false</LinksUpToDate>
  <CharactersWithSpaces>1246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2021-05-30T20:28:00Z</dcterms:created>
  <dc:creator>logonucd</dc:creator>
  <cp:lastModifiedBy>João Pedro Camargo</cp:lastModifiedBy>
  <cp:lastPrinted>2020-11-09T21:26:00Z</cp:lastPrinted>
  <dcterms:modified xsi:type="dcterms:W3CDTF">2026-09-14T22:53:08Z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eyJoZGlkIjoiY2M1YTkyZTIzYzNhMDgwMTU2MzZjYTgxYjUyODkwMTEiLCJ1c2VySWQiOiIxMjM2OTUzMzczMzI5In0=</vt:lpwstr>
  </property>
  <property fmtid="{D5CDD505-2E9C-101B-9397-08002B2CF9AE}" pid="3" name="KSOProductBuildVer">
    <vt:lpwstr>1046-12.1.0.28485</vt:lpwstr>
  </property>
  <property fmtid="{D5CDD505-2E9C-101B-9397-08002B2CF9AE}" pid="4" name="ICV">
    <vt:lpwstr>020E8DC267E24CC4BDD93BA76CE618F3_12</vt:lpwstr>
  </property>
</Properties>
</file>