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Relatório Final</w:t>
      </w:r>
    </w:p>
    <w:p>
      <w:pPr>
        <w:jc w:val="center"/>
      </w:pPr>
      <w:r>
        <w:rPr>
          <w:b/>
          <w:sz w:val="44"/>
        </w:rPr>
        <w:t>Desafio: Análise Avançada de Dados</w:t>
      </w:r>
    </w:p>
    <w:p>
      <w:pPr>
        <w:jc w:val="center"/>
      </w:pPr>
      <w:r>
        <w:rPr>
          <w:i/>
          <w:color w:val="0B6E5D"/>
          <w:sz w:val="28"/>
        </w:rPr>
        <w:t>Antecipação de Alertas Críticos em Frotas de Mineração</w:t>
      </w:r>
    </w:p>
    <w:p/>
    <w:p>
      <w:r>
        <w:br w:type="page"/>
      </w:r>
    </w:p>
    <w:p/>
    <w:p>
      <w:pPr>
        <w:jc w:val="center"/>
      </w:pPr>
      <w:r>
        <w:rPr>
          <w:b/>
          <w:sz w:val="24"/>
        </w:rPr>
        <w:t>João Pedro Costa</w:t>
      </w:r>
    </w:p>
    <w:p>
      <w:pPr>
        <w:jc w:val="center"/>
      </w:pPr>
      <w:r>
        <w:rPr>
          <w:b w:val="0"/>
          <w:sz w:val="24"/>
        </w:rPr>
        <w:t>Programa Desenvolver — Edição 2026</w:t>
      </w:r>
    </w:p>
    <w:p>
      <w:pPr>
        <w:jc w:val="center"/>
      </w:pPr>
      <w:r>
        <w:rPr>
          <w:b w:val="0"/>
          <w:sz w:val="24"/>
        </w:rPr>
        <w:t>pedrojoaao4@gmail.com</w:t>
      </w:r>
    </w:p>
    <w:p>
      <w:r>
        <w:br w:type="page"/>
      </w:r>
    </w:p>
    <w:p>
      <w:pPr>
        <w:jc w:val="both"/>
      </w:pPr>
      <w:r>
        <w:rPr>
          <w:b/>
        </w:rPr>
        <w:t>Resumo.</w:t>
      </w:r>
      <w:r>
        <w:t xml:space="preserve"> Este trabalho aborda a antecipação de alertas críticos de condição ("don't go") em uma frota de 47 equipamentos de mina em Itabira — caminhões fora de estrada CAT 793-D (frotas 2S a 5S) e escavadeiras LeTourneau L-1850 — a partir de duas fontes: os apontamentos de ciclo operacional (377.907 registros) e a telemetria embarcada (37,16 milhões de eventos), cobrindo seis meses de operação (jan a jun/2025). O catálogo de regras de negócio (151 regras TIPO + EVENTO + SITUACAO + QTD + TEMPO + NIVEL) foi convertido em um motor de regras em Python que rotulou 1.974 alertas don't go no período. O problema foi formulado como classificação binária — prever, ao fim de cada ciclo de apontamento, se o equipamento disparará um alerta don't go nas 4 horas seguintes — complementada por uma formulação de sobrevivência (Weibull AFT com censura à direita) que estima o tempo até o próximo alerta. Após limpeza com controle de alterações (todas as decisões documentadas, incluindo a derivação do operador por casamento temporal com a telemetria), foram construídas 50 features de janelas retroativas, gerando uma tabela analítica com 343.663 pontos de decisão e prevalência de 4,89%. A validação foi estritamente temporal (treino jan–abr/2025; teste jun/2025 tocado uma única vez), com tuning em </w:t>
      </w:r>
      <w:r>
        <w:rPr>
          <w:b/>
        </w:rPr>
        <w:t>duas janelas independentes</w:t>
      </w:r>
      <w:r>
        <w:t xml:space="preserve"> (abr e mai) e encodings estimados apenas em jan–mar — nenhuma estatística vê dados de validação. Três classificadores foram comparados contra dois baselines, além do modelo de sobrevivência e de uma abordagem não supervisionada (Isolation Forest e K-Means). O LightGBM venceu a seleção pré-registrada com AUC-ROC 0,870 no teste (Random Forest: AUC-PR 0,320, empate técnico; heurística de despacho: 0,750/0,245; Weibull AFT: C-index 0,781). O modelo é operado em </w:t>
      </w:r>
      <w:r>
        <w:rPr>
          <w:b/>
        </w:rPr>
        <w:t>dois pontos de limiar escolhidos na validação</w:t>
      </w:r>
      <w:r>
        <w:t xml:space="preserve">: o ponto de captura (F2) antecipa 68,6% dos 229 alertas de junho com mediana de 3,3 h de aviso, e o ponto custo-ótimo — que maximiza o benefício líquido sob as premissas financeiras explícitas — antecipa 45% com precisão de 42% e </w:t>
      </w:r>
      <w:r>
        <w:rPr>
          <w:b/>
        </w:rPr>
        <w:t>benefício líquido estimado de R$ 1,10 milhão no mês</w:t>
      </w:r>
      <w:r>
        <w:t>. A análise SHAP confirmou que o modelo aprendeu a física do problema (recorrência de alertas e rajadas de alarmes monitorados dominam o risco), e a análise de erros revelou achados acionáveis: a frota L-1850 gera 91% do volume de telemetria mas apenas 1,2% dos alertas — e é a única 100% imprevisível —, e o precursor de temperatura de freio existe no eixo dianteiro (94% de recall) mas é fraco no traseiro (~33%), um mapa direto para melhorias de instrumentação.</w:t>
      </w:r>
    </w:p>
    <w:p>
      <w:pPr>
        <w:jc w:val="both"/>
      </w:pPr>
      <w:r>
        <w:rPr>
          <w:b/>
        </w:rPr>
        <w:t>Palavras-chave:</w:t>
      </w:r>
      <w:r>
        <w:t xml:space="preserve"> manutenção preditiva; telemetria industrial; alertas don't go; LightGBM; análise de sobrevivência; validação temporal; SHAP; mineração.</w:t>
      </w:r>
    </w:p>
    <w:p>
      <w:pPr>
        <w:pStyle w:val="Heading1"/>
      </w:pPr>
      <w:r>
        <w:rPr>
          <w:rFonts w:ascii="Arial" w:hAnsi="Arial"/>
          <w:color w:val="0B6E5D"/>
          <w:sz w:val="30"/>
        </w:rPr>
        <w:t>1. Introdução</w:t>
      </w:r>
    </w:p>
    <w:p>
      <w:pPr>
        <w:jc w:val="both"/>
      </w:pPr>
      <w:r>
        <w:t xml:space="preserve">Uma mina de grande porte opera como um sistema de fluxo contínuo: escavadeiras alimentam caminhões fora de estrada que ciclam entre frentes de lavra, britadores e pilhas. Cada equipamento gera dois rastros digitais permanentes. O primeiro é o </w:t>
      </w:r>
      <w:r>
        <w:rPr>
          <w:b/>
        </w:rPr>
        <w:t>apontamento</w:t>
      </w:r>
      <w:r>
        <w:t xml:space="preserve">: o sistema de despacho registra cada ciclo de atividade com início, fim, equipamento (Tag), frota, tipo e classe da atividade. O segundo é a </w:t>
      </w:r>
      <w:r>
        <w:rPr>
          <w:b/>
        </w:rPr>
        <w:t>telemetria embarcada</w:t>
      </w:r>
      <w:r>
        <w:t>: os módulos OEM emitem eventos de condição — nível de fluido, temperatura de freio, pressão de óleo — classificados em níveis de severidade, além de tendências calculadas pela engenharia de confiabilidade e eventos de sistema, com a identificação anonimizada do operador no turno.</w:t>
      </w:r>
    </w:p>
    <w:p>
      <w:pPr>
        <w:jc w:val="both"/>
      </w:pPr>
      <w:r>
        <w:t xml:space="preserve">Sobre esse fluxo de eventos, a área de Confiabilidade (CMA) mantém um catálogo de </w:t>
      </w:r>
      <w:r>
        <w:rPr>
          <w:b/>
        </w:rPr>
        <w:t>regras don't go</w:t>
      </w:r>
      <w:r>
        <w:t xml:space="preserve">: combinações de evento, situação, quantidade e janela de tempo que, quando satisfeitas, determinam que o equipamento </w:t>
      </w:r>
      <w:r>
        <w:rPr>
          <w:b/>
        </w:rPr>
        <w:t>não deve continuar operando</w:t>
      </w:r>
      <w:r>
        <w:t>. O disparo de um don't go é, hoje, reativo: quando a regra fecha, a máquina já precisa sair de rota — muitas vezes carregada, em rampa, no meio do turno — e a manutenção recebe o problema sem aviso.</w:t>
      </w:r>
    </w:p>
    <w:p>
      <w:pPr>
        <w:jc w:val="both"/>
      </w:pPr>
      <w:r>
        <w:t xml:space="preserve">O objetivo central deste trabalho é transformar esse fluxo reativo em </w:t>
      </w:r>
      <w:r>
        <w:rPr>
          <w:b/>
        </w:rPr>
        <w:t>antecipação</w:t>
      </w:r>
      <w:r>
        <w:t>: construir um pipeline de dados completo (ETL, rotulagem via regras de negócio, engenharia de features, modelagem e avaliação) capaz de estimar, a cada ciclo encerrado, a probabilidade de cada equipamento disparar um alerta don't go nas 4 horas seguintes, e de traduzir essa probabilidade em uma fila priorizada de inspeção. A tomada de decisão baseada em dados aqui não é abstrata: cada hora de caminhão de 240 t parado fora de plano é produção não realizada, e cada alerta antecipado converte uma quebra em intervenção planejada.</w:t>
      </w:r>
    </w:p>
    <w:p>
      <w:pPr>
        <w:pStyle w:val="Heading1"/>
      </w:pPr>
      <w:r>
        <w:rPr>
          <w:rFonts w:ascii="Arial" w:hAnsi="Arial"/>
          <w:color w:val="0B6E5D"/>
          <w:sz w:val="30"/>
        </w:rPr>
        <w:t>2. Entendimento do Negócio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2.1 Contextualização da operação (CM 1.1)</w:t>
      </w:r>
    </w:p>
    <w:p>
      <w:pPr>
        <w:jc w:val="both"/>
      </w:pPr>
      <w:r>
        <w:rPr>
          <w:b/>
        </w:rPr>
        <w:t>Fluxo operacional.</w:t>
      </w:r>
      <w:r>
        <w:t xml:space="preserve"> Cada registro da tabela </w:t>
      </w:r>
      <w:r>
        <w:rPr>
          <w:rFonts w:ascii="Consolas" w:hAnsi="Consolas"/>
          <w:sz w:val="18"/>
        </w:rPr>
        <w:t>Apontamentos</w:t>
      </w:r>
      <w:r>
        <w:t xml:space="preserve"> representa um ciclo de atividade de um equipamento, delimitado por </w:t>
      </w:r>
      <w:r>
        <w:rPr>
          <w:rFonts w:ascii="Consolas" w:hAnsi="Consolas"/>
          <w:sz w:val="18"/>
        </w:rPr>
        <w:t>Inicio</w:t>
      </w:r>
      <w:r>
        <w:t xml:space="preserve"> e </w:t>
      </w:r>
      <w:r>
        <w:rPr>
          <w:rFonts w:ascii="Consolas" w:hAnsi="Consolas"/>
          <w:sz w:val="18"/>
        </w:rPr>
        <w:t>Fim</w:t>
      </w:r>
      <w:r>
        <w:t>, com a identificação do equipamento (</w:t>
      </w:r>
      <w:r>
        <w:rPr>
          <w:rFonts w:ascii="Consolas" w:hAnsi="Consolas"/>
          <w:sz w:val="18"/>
        </w:rPr>
        <w:t>Tag</w:t>
      </w:r>
      <w:r>
        <w:t>), o modelo/frota (</w:t>
      </w:r>
      <w:r>
        <w:rPr>
          <w:rFonts w:ascii="Consolas" w:hAnsi="Consolas"/>
          <w:sz w:val="18"/>
        </w:rPr>
        <w:t>Frota</w:t>
      </w:r>
      <w:r>
        <w:t>: 793-D 2S/3S/4S/5S, LeTourneau L 1850), o tipo (</w:t>
      </w:r>
      <w:r>
        <w:rPr>
          <w:rFonts w:ascii="Consolas" w:hAnsi="Consolas"/>
          <w:sz w:val="18"/>
        </w:rPr>
        <w:t>Tipo</w:t>
      </w:r>
      <w:r>
        <w:t>: Caminhao, Escavadeira) e a classificação da atividade (</w:t>
      </w:r>
      <w:r>
        <w:rPr>
          <w:rFonts w:ascii="Consolas" w:hAnsi="Consolas"/>
          <w:sz w:val="18"/>
        </w:rPr>
        <w:t>Classe</w:t>
      </w:r>
      <w:r>
        <w:t xml:space="preserve">: Operando, Parado, Hibernando, Manutenção). A base analisada cobre </w:t>
      </w:r>
      <w:r>
        <w:rPr>
          <w:b/>
        </w:rPr>
        <w:t>47 equipamentos</w:t>
      </w:r>
      <w:r>
        <w:t xml:space="preserve"> da localidade de Itabira, operando em dois turnos de 12 h (A: 06–18 h, B: 18–06 h). O extrato de apontamentos recebido não traz o operador; essa informação foi derivada da telemetria (seção 3.3).</w:t>
      </w:r>
    </w:p>
    <w:p>
      <w:pPr>
        <w:jc w:val="both"/>
      </w:pPr>
      <w:r>
        <w:t xml:space="preserve">A tabela </w:t>
      </w:r>
      <w:r>
        <w:rPr>
          <w:rFonts w:ascii="Consolas" w:hAnsi="Consolas"/>
          <w:sz w:val="18"/>
        </w:rPr>
        <w:t>Telemetria</w:t>
      </w:r>
      <w:r>
        <w:t xml:space="preserve"> registra os eventos emitidos pelos módulos embarcados: </w:t>
      </w:r>
      <w:r>
        <w:rPr>
          <w:rFonts w:ascii="Consolas" w:hAnsi="Consolas"/>
          <w:sz w:val="18"/>
        </w:rPr>
        <w:t>Data_Evento</w:t>
      </w:r>
      <w:r>
        <w:t>, turno, localidade, equipamento, operador anonimizado (</w:t>
      </w:r>
      <w:r>
        <w:rPr>
          <w:rFonts w:ascii="Consolas" w:hAnsi="Consolas"/>
          <w:sz w:val="18"/>
        </w:rPr>
        <w:t>Nome_Operador_Anon</w:t>
      </w:r>
      <w:r>
        <w:t xml:space="preserve">, </w:t>
      </w:r>
      <w:r>
        <w:rPr>
          <w:rFonts w:ascii="Consolas" w:hAnsi="Consolas"/>
          <w:sz w:val="18"/>
        </w:rPr>
        <w:t>Matricula_Operador_Hash</w:t>
      </w:r>
      <w:r>
        <w:t>), alarme (</w:t>
      </w:r>
      <w:r>
        <w:rPr>
          <w:rFonts w:ascii="Consolas" w:hAnsi="Consolas"/>
          <w:sz w:val="18"/>
        </w:rPr>
        <w:t>Id_Alarme</w:t>
      </w:r>
      <w:r>
        <w:t xml:space="preserve">, </w:t>
      </w:r>
      <w:r>
        <w:rPr>
          <w:rFonts w:ascii="Consolas" w:hAnsi="Consolas"/>
          <w:sz w:val="18"/>
        </w:rPr>
        <w:t>Alarme</w:t>
      </w:r>
      <w:r>
        <w:t>), criticidade (</w:t>
      </w:r>
      <w:r>
        <w:rPr>
          <w:rFonts w:ascii="Consolas" w:hAnsi="Consolas"/>
          <w:sz w:val="18"/>
        </w:rPr>
        <w:t>Id_Criticidade</w:t>
      </w:r>
      <w:r>
        <w:t>: 1=Crítico, 2=Não Crítico, 3=Informacional, 4=Outros), valor lido pelo sensor (</w:t>
      </w:r>
      <w:r>
        <w:rPr>
          <w:rFonts w:ascii="Consolas" w:hAnsi="Consolas"/>
          <w:sz w:val="18"/>
        </w:rPr>
        <w:t>Valor</w:t>
      </w:r>
      <w:r>
        <w:t xml:space="preserve">, com vírgula como separador decimal) e a flag </w:t>
      </w:r>
      <w:r>
        <w:rPr>
          <w:rFonts w:ascii="Consolas" w:hAnsi="Consolas"/>
          <w:sz w:val="18"/>
        </w:rPr>
        <w:t>Is_Dont_Go</w:t>
      </w:r>
      <w:r>
        <w:t xml:space="preserve"> indicando se o nome do alarme consta na lista don't go.</w:t>
      </w:r>
    </w:p>
    <w:p>
      <w:pPr>
        <w:jc w:val="both"/>
      </w:pPr>
      <w:r>
        <w:rPr>
          <w:b/>
        </w:rPr>
        <w:t>Alertas don't go.</w:t>
      </w:r>
      <w:r>
        <w:t xml:space="preserve"> Um alerta don't go sinaliza condição na qual o equipamento </w:t>
      </w:r>
      <w:r>
        <w:rPr>
          <w:b/>
        </w:rPr>
        <w:t>não deve operar</w:t>
      </w:r>
      <w:r>
        <w:t xml:space="preserve">. O impacto é triplo: (i) </w:t>
      </w:r>
      <w:r>
        <w:rPr>
          <w:b/>
        </w:rPr>
        <w:t>segurança</w:t>
      </w:r>
      <w:r>
        <w:t xml:space="preserve"> — um caminhão com temperatura de freio crítica descendo rampa carregado é um risco inaceitável; (ii) </w:t>
      </w:r>
      <w:r>
        <w:rPr>
          <w:b/>
        </w:rPr>
        <w:t>disponibilidade</w:t>
      </w:r>
      <w:r>
        <w:t xml:space="preserve"> — a máquina sai do plano de produção sem aviso; (iii) </w:t>
      </w:r>
      <w:r>
        <w:rPr>
          <w:b/>
        </w:rPr>
        <w:t>custo do ativo</w:t>
      </w:r>
      <w:r>
        <w:t xml:space="preserve"> — operar sob alarme de pressão de óleo do motor transforma uma intervenção de horas em uma troca de componente de semanas.</w:t>
      </w:r>
    </w:p>
    <w:p>
      <w:pPr>
        <w:jc w:val="both"/>
      </w:pPr>
      <w:r>
        <w:rPr>
          <w:b/>
        </w:rPr>
        <w:t>Regras de negócio.</w:t>
      </w:r>
      <w:r>
        <w:t xml:space="preserve"> O arquivo </w:t>
      </w:r>
      <w:r>
        <w:rPr>
          <w:rFonts w:ascii="Consolas" w:hAnsi="Consolas"/>
          <w:sz w:val="18"/>
        </w:rPr>
        <w:t>Alarmes - Regra de Negocio.xlsx</w:t>
      </w:r>
      <w:r>
        <w:t xml:space="preserve"> (aba CMA — o catálogo referido no estudo guiado como Alarmes - SUL_SUDESTE.xlsx) define quando um alerta dispara: </w:t>
      </w:r>
      <w:r>
        <w:rPr>
          <w:b/>
        </w:rPr>
        <w:t>151 regras</w:t>
      </w:r>
      <w:r>
        <w:t>, cada uma combinando TIPO (142 ALARME OEM, 7 TENDÊNCIA, 2 SISTEMA), EVENTO (nome do alarme), SITUACAO (condição de disparo, ex.: "Mediante alarme nível 3", "Mediante cinco alarmes nivel 2 consecutivos", "Em qualquer situação"), QTD (1 a 10 ocorrências), TEMPO (janela de 0, 360 ou 720 minutos) e NIVEL (Muito Alto ou Alto). O arquivo é equivalente a regras codificadas — e foi exatamente assim que este trabalho o tratou, convertendo-o em um motor de regras em Python (seção 3.3).</w:t>
      </w:r>
    </w:p>
    <w:p>
      <w:pPr>
        <w:jc w:val="both"/>
      </w:pPr>
      <w:r>
        <w:t xml:space="preserve">Exemplos de eventos de NIVEL </w:t>
      </w:r>
      <w:r>
        <w:rPr>
          <w:b/>
        </w:rPr>
        <w:t>Muito Alto</w:t>
      </w:r>
      <w:r>
        <w:t xml:space="preserve"> (criticidade máxima): </w:t>
      </w:r>
      <w:r>
        <w:rPr>
          <w:rFonts w:ascii="Consolas" w:hAnsi="Consolas"/>
          <w:sz w:val="18"/>
        </w:rPr>
        <w:t>Low Transmission Oil Level</w:t>
      </w:r>
      <w:r>
        <w:t xml:space="preserve"> (mediante alarme nível 3), </w:t>
      </w:r>
      <w:r>
        <w:rPr>
          <w:rFonts w:ascii="Consolas" w:hAnsi="Consolas"/>
          <w:sz w:val="18"/>
        </w:rPr>
        <w:t>Engine Coolant Level - Active</w:t>
      </w:r>
      <w:r>
        <w:t xml:space="preserve">, </w:t>
      </w:r>
      <w:r>
        <w:rPr>
          <w:rFonts w:ascii="Consolas" w:hAnsi="Consolas"/>
          <w:sz w:val="18"/>
        </w:rPr>
        <w:t>Very Low Hydraulic Oil Level</w:t>
      </w:r>
      <w:r>
        <w:t xml:space="preserve">, </w:t>
      </w:r>
      <w:r>
        <w:rPr>
          <w:rFonts w:ascii="Consolas" w:hAnsi="Consolas"/>
          <w:sz w:val="18"/>
        </w:rPr>
        <w:t>Engine Overheat/Engine Coolant or Water Overheat</w:t>
      </w:r>
      <w:r>
        <w:t xml:space="preserve">, </w:t>
      </w:r>
      <w:r>
        <w:rPr>
          <w:rFonts w:ascii="Consolas" w:hAnsi="Consolas"/>
          <w:sz w:val="18"/>
        </w:rPr>
        <w:t>Low Engine Oil Pressure</w:t>
      </w:r>
      <w:r>
        <w:t xml:space="preserve">, </w:t>
      </w:r>
      <w:r>
        <w:rPr>
          <w:rFonts w:ascii="Consolas" w:hAnsi="Consolas"/>
          <w:sz w:val="18"/>
        </w:rPr>
        <w:t>High Engine Coolant Temperature</w:t>
      </w:r>
      <w:r>
        <w:t>, temperaturas de freio (</w:t>
      </w:r>
      <w:r>
        <w:rPr>
          <w:rFonts w:ascii="Consolas" w:hAnsi="Consolas"/>
          <w:sz w:val="18"/>
        </w:rPr>
        <w:t>High Left/Right Front/Rear Brake Oil Temperature</w:t>
      </w:r>
      <w:r>
        <w:t xml:space="preserve">), </w:t>
      </w:r>
      <w:r>
        <w:rPr>
          <w:rFonts w:ascii="Consolas" w:hAnsi="Consolas"/>
          <w:sz w:val="18"/>
        </w:rPr>
        <w:t>Hydraulic Reservoir Oil Temperature Critically High (L-1850)</w:t>
      </w:r>
      <w:r>
        <w:t xml:space="preserve">, </w:t>
      </w:r>
      <w:r>
        <w:rPr>
          <w:rFonts w:ascii="Consolas" w:hAnsi="Consolas"/>
          <w:sz w:val="18"/>
        </w:rPr>
        <w:t>HPD Gearbox Oil Pressure Critically Low</w:t>
      </w:r>
      <w:r>
        <w:t xml:space="preserve">, as tendências </w:t>
      </w:r>
      <w:r>
        <w:rPr>
          <w:rFonts w:ascii="Consolas" w:hAnsi="Consolas"/>
          <w:sz w:val="18"/>
        </w:rPr>
        <w:t>MC - Tendência baixa pressão do óleo motor &lt;250/200/150KPA</w:t>
      </w:r>
      <w:r>
        <w:t xml:space="preserve"> e a regra de sistema </w:t>
      </w:r>
      <w:r>
        <w:rPr>
          <w:rFonts w:ascii="Consolas" w:hAnsi="Consolas"/>
          <w:sz w:val="18"/>
        </w:rPr>
        <w:t>MEMS não comunica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1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luxo_operac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0B6E5D"/>
          <w:sz w:val="25"/>
        </w:rPr>
        <w:t>2.2 Definição do problema analítico (CM 1.2)</w:t>
      </w:r>
    </w:p>
    <w:p>
      <w:pPr>
        <w:jc w:val="both"/>
      </w:pPr>
      <w:r>
        <w:rPr>
          <w:b/>
        </w:rPr>
        <w:t>Pergunta principal:</w:t>
      </w:r>
    </w:p>
    <w:p>
      <w:pPr>
        <w:ind w:left="567"/>
      </w:pPr>
      <w:r>
        <w:rPr>
          <w:b/>
          <w:i/>
        </w:rPr>
        <w:t>Quais equipamentos têm maior risco de gerar um alerta don't go nas próximas 4 horas, considerando o padrão atual de operação?</w:t>
      </w:r>
    </w:p>
    <w:p>
      <w:pPr>
        <w:jc w:val="both"/>
      </w:pPr>
      <w:r>
        <w:t>Perguntas secundárias respondidas ao longo do trabalho:</w:t>
      </w:r>
    </w:p>
    <w:p>
      <w:pPr>
        <w:pStyle w:val="ListBullet"/>
      </w:pPr>
      <w:r>
        <w:t>O comportamento do operador (anonimizado) tem correlação com a frequência de alertas em um mesmo equipamento? (seções 3.2 e 4.6)</w:t>
      </w:r>
    </w:p>
    <w:p>
      <w:pPr>
        <w:pStyle w:val="ListBullet"/>
      </w:pPr>
      <w:r>
        <w:t>Qual é o perfil dos equipamentos que geram mais alertas don't go — frota, tipo e horas trabalhadas? (seções 3.2 e 4.6)</w:t>
      </w:r>
    </w:p>
    <w:p>
      <w:pPr>
        <w:pStyle w:val="ListBullet"/>
      </w:pPr>
      <w:r>
        <w:t>Alertas críticos se concentram em determinados turnos, dias da semana ou períodos do mês? (seção 3.2)</w:t>
      </w:r>
    </w:p>
    <w:p>
      <w:pPr>
        <w:pStyle w:val="ListBullet"/>
      </w:pPr>
      <w:r>
        <w:t>Como priorizar a fila de inspeção da manutenção com base no score de risco? (seção 4.5)</w:t>
      </w:r>
    </w:p>
    <w:p>
      <w:pPr>
        <w:jc w:val="both"/>
      </w:pPr>
      <w:r>
        <w:rPr>
          <w:b/>
        </w:rPr>
        <w:t>Métrica de sucesso do negócio.</w:t>
      </w:r>
      <w:r>
        <w:t xml:space="preserve"> O problema é considerado "resolvido" se o modelo (i) </w:t>
      </w:r>
      <w:r>
        <w:rPr>
          <w:b/>
        </w:rPr>
        <w:t>antecipar ao menos 60% dos alertas don't go</w:t>
      </w:r>
      <w:r>
        <w:t xml:space="preserve"> com aviso dentro da janela de 4 h e (ii) manter a carga de falsos positivos em nível absorvível pela rotina de inspeção (precisão ≥ 30%, ou seja, no máximo ~2 inspeções vazias para cada acerto). Como referência de valor: cada alerta antecipado converte parte de uma intervenção corretiva de emergência (episódio médio de 6,7 h na base) em intervenção planejada.</w:t>
      </w:r>
    </w:p>
    <w:p>
      <w:pPr>
        <w:jc w:val="both"/>
      </w:pPr>
      <w:r>
        <w:rPr>
          <w:b/>
        </w:rPr>
        <w:t>Cenário de aplicação.</w:t>
      </w:r>
      <w:r>
        <w:t xml:space="preserve"> A cada fechamento de ciclo de apontamento (em média a cada ~30 min por equipamento), o pipeline recalcula o score de risco e atualiza um painel no sistema de monitoramento do despacho. Score acima do limiar acende um cartão "inspecionar nas próximas 4 h": o dispatcher redireciona o caminhão para uma rota próxima da oficina ou antecipa o abastecimento para coincidir com a inspeção, e a manutenção recebe a fila priorizada com o subsistema suspeito (derivado dos eventos que sustentam o score, via SHAP).</w:t>
      </w:r>
    </w:p>
    <w:p>
      <w:pPr>
        <w:pStyle w:val="Heading1"/>
      </w:pPr>
      <w:r>
        <w:rPr>
          <w:rFonts w:ascii="Arial" w:hAnsi="Arial"/>
          <w:color w:val="0B6E5D"/>
          <w:sz w:val="30"/>
        </w:rPr>
        <w:t>3. Metodologia</w:t>
      </w:r>
    </w:p>
    <w:p>
      <w:pPr>
        <w:jc w:val="both"/>
      </w:pPr>
      <w:r>
        <w:t>A metodologia segue o CRISP-DM: entendimento dos dados (3.2), preparação (3.3), modelagem (3.4–3.5) e avaliação (seção 4), sustentadas por um pipeline ETL reprodutível (3.1).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3.1 Arquitetura da solução e pipeline ETL</w:t>
      </w:r>
    </w:p>
    <w:p>
      <w:pPr>
        <w:jc w:val="both"/>
      </w:pPr>
      <w:r>
        <w:t xml:space="preserve">O pipeline foi implementado em Python 3 (pandas, scikit-learn, LightGBM, lifelines, SHAP) e organizado em módulos com responsabilidade única, executáveis de ponta a ponta por </w:t>
      </w:r>
      <w:r>
        <w:rPr>
          <w:rFonts w:ascii="Consolas" w:hAnsi="Consolas"/>
          <w:sz w:val="18"/>
        </w:rPr>
        <w:t>executar_pipeline.py</w:t>
      </w:r>
      <w:r>
        <w:t>:</w:t>
      </w:r>
    </w:p>
    <w:p>
      <w:pPr>
        <w:pStyle w:val="ListNumber"/>
      </w:pPr>
      <w:r>
        <w:rPr>
          <w:b/>
        </w:rPr>
        <w:t>Extração</w:t>
      </w:r>
      <w:r>
        <w:t xml:space="preserve"> (</w:t>
      </w:r>
      <w:r>
        <w:rPr>
          <w:rFonts w:ascii="Consolas" w:hAnsi="Consolas"/>
          <w:sz w:val="18"/>
        </w:rPr>
        <w:t>src/etl/extracao.py</w:t>
      </w:r>
      <w:r>
        <w:t xml:space="preserve">) — leitura dos extratos Parquet do data lake (Apontamentos em arquivo único; Telemetria particionada por mês, 6 arquivos), com tipagem explícita e </w:t>
      </w:r>
      <w:r>
        <w:rPr>
          <w:b/>
        </w:rPr>
        <w:t>leitura colunar seletiva</w:t>
      </w:r>
      <w:r>
        <w:t>: das 18 colunas da telemetria, apenas as 10 consumidas pelo pipeline são carregadas — decisão necessária para processar 37,16 milhões de eventos em memória. Inclui o enriquecimento do operador nos apontamentos por casamento temporal com a telemetria (seção 3.3).</w:t>
      </w:r>
    </w:p>
    <w:p>
      <w:pPr>
        <w:pStyle w:val="ListNumber"/>
      </w:pPr>
      <w:r>
        <w:rPr>
          <w:b/>
        </w:rPr>
        <w:t>Transformação</w:t>
      </w:r>
      <w:r>
        <w:t xml:space="preserve"> (</w:t>
      </w:r>
      <w:r>
        <w:rPr>
          <w:rFonts w:ascii="Consolas" w:hAnsi="Consolas"/>
          <w:sz w:val="18"/>
        </w:rPr>
        <w:t>src/etl/transformacao.py</w:t>
      </w:r>
      <w:r>
        <w:t xml:space="preserve">) — limpeza com </w:t>
      </w:r>
      <w:r>
        <w:rPr>
          <w:b/>
        </w:rPr>
        <w:t>controle de alterações</w:t>
      </w:r>
      <w:r>
        <w:t>: cada correção ou exclusão gera uma linha de log ANTES/DEPOIS com justificativa (tabela na seção 3.3).</w:t>
      </w:r>
    </w:p>
    <w:p>
      <w:pPr>
        <w:pStyle w:val="ListNumber"/>
      </w:pPr>
      <w:r>
        <w:rPr>
          <w:b/>
        </w:rPr>
        <w:t>Carga</w:t>
      </w:r>
      <w:r>
        <w:t xml:space="preserve"> (</w:t>
      </w:r>
      <w:r>
        <w:rPr>
          <w:rFonts w:ascii="Consolas" w:hAnsi="Consolas"/>
          <w:sz w:val="18"/>
        </w:rPr>
        <w:t>src/etl/carga.py</w:t>
      </w:r>
      <w:r>
        <w:t xml:space="preserve">) — materialização da camada tratada em </w:t>
      </w:r>
      <w:r>
        <w:rPr>
          <w:b/>
        </w:rPr>
        <w:t>Parquet</w:t>
      </w:r>
      <w:r>
        <w:t xml:space="preserve"> (colunar, tipado; preserva dtypes entre etapas e permite reprocessamento parcial).</w:t>
      </w:r>
    </w:p>
    <w:p>
      <w:pPr>
        <w:pStyle w:val="ListNumber"/>
      </w:pPr>
      <w:r>
        <w:rPr>
          <w:b/>
        </w:rPr>
        <w:t>Rotulagem</w:t>
      </w:r>
      <w:r>
        <w:t xml:space="preserve"> (</w:t>
      </w:r>
      <w:r>
        <w:rPr>
          <w:rFonts w:ascii="Consolas" w:hAnsi="Consolas"/>
          <w:sz w:val="18"/>
        </w:rPr>
        <w:t>src/regras/motor_regras.py</w:t>
      </w:r>
      <w:r>
        <w:t>) — aplicação das 151 regras do catálogo sobre a telemetria limpa.</w:t>
      </w:r>
    </w:p>
    <w:p>
      <w:pPr>
        <w:pStyle w:val="ListNumber"/>
      </w:pPr>
      <w:r>
        <w:rPr>
          <w:b/>
        </w:rPr>
        <w:t>Features</w:t>
      </w:r>
      <w:r>
        <w:t xml:space="preserve"> (</w:t>
      </w:r>
      <w:r>
        <w:rPr>
          <w:rFonts w:ascii="Consolas" w:hAnsi="Consolas"/>
          <w:sz w:val="18"/>
        </w:rPr>
        <w:t>src/features/engenharia.py</w:t>
      </w:r>
      <w:r>
        <w:t>) — construção da tabela analítica (ABT) por varredura vetorizada (busca binária sobre arrays ordenados por equipamento).</w:t>
      </w:r>
    </w:p>
    <w:p>
      <w:pPr>
        <w:pStyle w:val="ListNumber"/>
      </w:pPr>
      <w:r>
        <w:rPr>
          <w:b/>
        </w:rPr>
        <w:t>Modelagem e avaliação</w:t>
      </w:r>
      <w:r>
        <w:t xml:space="preserve"> (</w:t>
      </w:r>
      <w:r>
        <w:rPr>
          <w:rFonts w:ascii="Consolas" w:hAnsi="Consolas"/>
          <w:sz w:val="18"/>
        </w:rPr>
        <w:t>src/modelos/</w:t>
      </w:r>
      <w:r>
        <w:t xml:space="preserve">, </w:t>
      </w:r>
      <w:r>
        <w:rPr>
          <w:rFonts w:ascii="Consolas" w:hAnsi="Consolas"/>
          <w:sz w:val="18"/>
        </w:rPr>
        <w:t>src/avaliacao/</w:t>
      </w:r>
      <w:r>
        <w:t>) — treino, tuning, métricas, análise de erros, SHAP e impacto.</w:t>
      </w:r>
    </w:p>
    <w:p>
      <w:pPr>
        <w:pStyle w:val="ListNumber"/>
      </w:pPr>
      <w:r>
        <w:rPr>
          <w:b/>
        </w:rPr>
        <w:t>Visualização</w:t>
      </w:r>
      <w:r>
        <w:t xml:space="preserve"> (</w:t>
      </w:r>
      <w:r>
        <w:rPr>
          <w:rFonts w:ascii="Consolas" w:hAnsi="Consolas"/>
          <w:sz w:val="18"/>
        </w:rPr>
        <w:t>src/viz/figuras.py</w:t>
      </w:r>
      <w:r>
        <w:t>) — geração das 13 figuras do relatório.</w:t>
      </w:r>
    </w:p>
    <w:p>
      <w:pPr>
        <w:jc w:val="both"/>
      </w:pPr>
      <w:r>
        <w:t>Critérios de arquitetura: separação entre camadas bruta/tratada/analítica (medalhão simplificado), reprodutibilidade (semente fixa, split por data), e escalabilidade do desenho — as agregações por janela usam apenas ordenação temporal por equipamento, o que se traduz diretamente para janelas deslizantes em streaming (Spark Structured Streaming/Flink) no cenário de produção. O pipeline completo (ETL → rotulagem → ABT → treino → avaliação → figuras) roda em ~8 min sobre os 37 milhões de eventos.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3.2 Entendimento dos dados — EDA (CM 2.1, 2.2, 2.3)</w:t>
      </w:r>
    </w:p>
    <w:p>
      <w:pPr>
        <w:jc w:val="both"/>
      </w:pPr>
      <w:r>
        <w:rPr>
          <w:b/>
        </w:rPr>
        <w:t>Carga e inspeção inicial (CM 2.1).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6"/>
              </w:rPr>
              <w:t>Tabela</w:t>
            </w:r>
          </w:p>
        </w:tc>
        <w:tc>
          <w:tcPr>
            <w:tcW w:type="dxa" w:w="1568"/>
          </w:tcPr>
          <w:p>
            <w:r>
              <w:rPr>
                <w:b/>
                <w:sz w:val="16"/>
              </w:rPr>
              <w:t>Linhas</w:t>
            </w:r>
          </w:p>
        </w:tc>
        <w:tc>
          <w:tcPr>
            <w:tcW w:type="dxa" w:w="1568"/>
          </w:tcPr>
          <w:p>
            <w:r>
              <w:rPr>
                <w:b/>
                <w:sz w:val="16"/>
              </w:rPr>
              <w:t>Colunas</w:t>
            </w:r>
          </w:p>
        </w:tc>
        <w:tc>
          <w:tcPr>
            <w:tcW w:type="dxa" w:w="1568"/>
          </w:tcPr>
          <w:p>
            <w:r>
              <w:rPr>
                <w:b/>
                <w:sz w:val="16"/>
              </w:rPr>
              <w:t>Nulos (total)</w:t>
            </w:r>
          </w:p>
        </w:tc>
        <w:tc>
          <w:tcPr>
            <w:tcW w:type="dxa" w:w="1568"/>
          </w:tcPr>
          <w:p>
            <w:r>
              <w:rPr>
                <w:b/>
                <w:sz w:val="16"/>
              </w:rPr>
              <w:t>Duplicatas</w:t>
            </w:r>
          </w:p>
        </w:tc>
        <w:tc>
          <w:tcPr>
            <w:tcW w:type="dxa" w:w="1568"/>
          </w:tcPr>
          <w:p>
            <w:r>
              <w:rPr>
                <w:b/>
                <w:sz w:val="16"/>
              </w:rPr>
              <w:t>Janela temporal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Apontamentos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377.907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9 (7 da origem + 2 derivadas)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140.264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01/01/2025 00:00 — 30/06/2025 23:57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Telemetria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37.164.054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10 (de 18 na origem)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01/01/2025 00:00 — 30/06/2025 23:59</w:t>
            </w:r>
          </w:p>
        </w:tc>
      </w:tr>
    </w:tbl>
    <w:p/>
    <w:p>
      <w:pPr>
        <w:jc w:val="both"/>
      </w:pPr>
      <w:r>
        <w:t>Os 140.264 nulos dos apontamentos estão concentrados nas duas colunas de operador derivadas por casamento temporal (70.132 ciclos sem evento de telemetria do mesmo equipamento em ±6 h — majoritariamente as 15 Tags sem telemetria no período). A frequência média é de ~2.086 apontamentos/dia (≈44 ciclos por equipamento-dia) e ~205 mil eventos de telemetria/dia, estáveis ao longo do semestre (Figura 2).</w:t>
      </w:r>
    </w:p>
    <w:p>
      <w:pPr>
        <w:jc w:val="both"/>
      </w:pPr>
      <w:r>
        <w:t>Estatísticas descritivas das variáveis numéricas (antes da limpeza):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rPr>
                <w:b/>
                <w:sz w:val="16"/>
              </w:rPr>
              <w:t>Tabela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% Nulos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Max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Média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Mediana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Desvio Padrão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Apontamentos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duracao_min (derivada)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0,02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60,0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29,7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22,9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24,0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Telemetria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Valor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0,64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4.347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4,6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28,5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Telemetria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Id_Criticidade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int64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2,98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0,15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Telemetria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Is_Dont_Go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int8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0,02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Telemetria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Dia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int64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16,0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8,9</w:t>
            </w:r>
          </w:p>
        </w:tc>
      </w:tr>
    </w:tbl>
    <w:p/>
    <w:p>
      <w:pPr>
        <w:jc w:val="both"/>
      </w:pPr>
      <w:r>
        <w:t xml:space="preserve">Dois achados estruturais orientaram a preparação: (i) a duração máxima de exatamente </w:t>
      </w:r>
      <w:r>
        <w:rPr>
          <w:b/>
        </w:rPr>
        <w:t>60 minutos</w:t>
      </w:r>
      <w:r>
        <w:t xml:space="preserve"> revela que o sistema de origem </w:t>
      </w:r>
      <w:r>
        <w:rPr>
          <w:b/>
        </w:rPr>
        <w:t>fatia atividades longas em ciclos de até 1 h</w:t>
      </w:r>
      <w:r>
        <w:t xml:space="preserve"> — qualquer métrica de duração de atividade (ex.: tempo de manutenção) precisa reconstruir episódios encadeando ciclos consecutivos; (ii) 98,5% dos eventos de telemetria são de criticidade 3 (informacional) e apenas 19.962 eventos (0,05%) carregam a flag </w:t>
      </w:r>
      <w:r>
        <w:rPr>
          <w:rFonts w:ascii="Consolas" w:hAnsi="Consolas"/>
          <w:sz w:val="18"/>
        </w:rPr>
        <w:t>Is_Dont_Go</w:t>
      </w:r>
      <w:r>
        <w:t xml:space="preserve"> — o sinal relevante para as regras é uma agulha em um palheiro de 37 milhões de eventos. </w:t>
      </w:r>
      <w:r>
        <w:rPr>
          <w:rFonts w:ascii="Consolas" w:hAnsi="Consolas"/>
          <w:sz w:val="18"/>
        </w:rPr>
        <w:t>Valor</w:t>
      </w:r>
      <w:r>
        <w:t xml:space="preserve"> usa vírgula como separador decimal na origem (tratado na transformação) e é 0 na mediana (alarmes de estado não carregam leitura).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6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volume_tempo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Análise da variável alvo (CM 2.2).</w:t>
      </w:r>
      <w:r>
        <w:t xml:space="preserve"> Após a rotulagem pelo motor de regras (seção 3.3), o período contém </w:t>
      </w:r>
      <w:r>
        <w:rPr>
          <w:b/>
        </w:rPr>
        <w:t>1.974 alertas don't go</w:t>
      </w:r>
      <w:r>
        <w:t xml:space="preserve"> — 10,9/dia na frota, ou 0,23 por equipamento-dia: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NIVEL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Alertas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ALARME OEM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Muito Alto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1.420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ALARME OEM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554</w:t>
            </w:r>
          </w:p>
        </w:tc>
      </w:tr>
    </w:tbl>
    <w:p/>
    <w:p>
      <w:pPr>
        <w:jc w:val="both"/>
      </w:pPr>
      <w:r>
        <w:t xml:space="preserve">Nenhuma regra de TIPO TENDÊNCIA ou SISTEMA disparou no período — os eventos correspondentes não ocorrem nesta extração de telemetria, o que é em si um achado de cobertura de dados (as tendências da engenharia e os watchdogs de comunicação não estão fluindo para esta base). Os dez equipamentos mais ofensores concentram </w:t>
      </w:r>
      <w:r>
        <w:rPr>
          <w:b/>
        </w:rPr>
        <w:t>57,8%</w:t>
      </w:r>
      <w:r>
        <w:t xml:space="preserve"> dos alertas (CA65926 lidera com 152; CA65930 com 141; CA65927 com 123), enquanto a mediana entre os 32 equipamentos com alerta é 59,5 — a cauda pesada é exatamente o que uma fila de inspeção priorizada explora. </w:t>
      </w:r>
      <w:r>
        <w:rPr>
          <w:b/>
        </w:rPr>
        <w:t>Balanceamento:</w:t>
      </w:r>
      <w:r>
        <w:t xml:space="preserve"> nos 343.663 pontos de decisão da ABT, a classe positiva (alerta nas próximas 4 h) representa </w:t>
      </w:r>
      <w:r>
        <w:rPr>
          <w:b/>
        </w:rPr>
        <w:t>4,89%</w:t>
      </w:r>
      <w:r>
        <w:t xml:space="preserve"> — desbalanceamento de ~1:19 que orientou a escolha de métricas (AUC-PR, F2) e de pesos de classe nos modelos. A série temporal diária (Figura 4) mostra regime com surtos e queda de incidência na segunda quinzena de maio, sem sazonalidade semanal relevante.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alertas_tipo_ni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73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erie_aler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Análise de features (CM 2.3).</w:t>
      </w:r>
      <w:r>
        <w:t xml:space="preserve"> O heatmap de correlação de Spearman (Figura 5) entre as principais variáveis numéricas e o target mostra: (i) forte colinearidade dentro das famílias de contagem em janelas sobrepostas (esperado e tolerado, pois os modelos finais são de árvore); (ii) as correlações mais altas com </w:t>
      </w:r>
      <w:r>
        <w:rPr>
          <w:rFonts w:ascii="Consolas" w:hAnsi="Consolas"/>
          <w:sz w:val="18"/>
        </w:rPr>
        <w:t>y</w:t>
      </w:r>
      <w:r>
        <w:t xml:space="preserve"> vêm de </w:t>
      </w:r>
      <w:r>
        <w:rPr>
          <w:rFonts w:ascii="Consolas" w:hAnsi="Consolas"/>
          <w:sz w:val="18"/>
        </w:rPr>
        <w:t>n_dg_12h/24h</w:t>
      </w:r>
      <w:r>
        <w:t xml:space="preserve">, </w:t>
      </w:r>
      <w:r>
        <w:rPr>
          <w:rFonts w:ascii="Consolas" w:hAnsi="Consolas"/>
          <w:sz w:val="18"/>
        </w:rPr>
        <w:t>quase_gatilhos_12h</w:t>
      </w:r>
      <w:r>
        <w:t xml:space="preserve"> e das contagens de criticidade em janela curta; (iii) </w:t>
      </w:r>
      <w:r>
        <w:rPr>
          <w:rFonts w:ascii="Consolas" w:hAnsi="Consolas"/>
          <w:sz w:val="18"/>
        </w:rPr>
        <w:t>h_desde_alerta_dg</w:t>
      </w:r>
      <w:r>
        <w:t xml:space="preserve"> correlaciona negativamente (alerta recente → maior risco de recorrência).</w:t>
      </w:r>
    </w:p>
    <w:p>
      <w:pPr>
        <w:jc w:val="both"/>
      </w:pPr>
      <w:r>
        <w:t xml:space="preserve">Distribuição por categoria: a taxa de don't go por 1.000 h operadas varia </w:t>
      </w:r>
      <w:r>
        <w:rPr>
          <w:b/>
        </w:rPr>
        <w:t>16×</w:t>
      </w:r>
      <w:r>
        <w:t xml:space="preserve"> entre frotas — 793-D 3S com 34,5, 793-D 4S com 30,8, 793-D 5S com 30,7, 793-D 2S com 13,3 e LeTourneau L 1850 com apenas 2,1 — sendo que a L-1850 responde sozinha por </w:t>
      </w:r>
      <w:r>
        <w:rPr>
          <w:b/>
        </w:rPr>
        <w:t>91,2% do volume de telemetria</w:t>
      </w:r>
      <w:r>
        <w:t xml:space="preserve"> (33,9 milhões de eventos) e apenas 1,2% dos alertas: volume de eventos não é risco. Padrões temporais: a taxa do target oscila entre 4,13% (10 h) e 5,72% (21 h), com </w:t>
      </w:r>
      <w:r>
        <w:rPr>
          <w:b/>
        </w:rPr>
        <w:t>leve predominância noturna</w:t>
      </w:r>
      <w:r>
        <w:t xml:space="preserve"> — turno B (18–06 h) com 5,15% contra 4,62% do turno A (Figura 6); entre dias da semana a variação é pequena.</w:t>
      </w:r>
    </w:p>
    <w:p>
      <w:pPr>
        <w:jc w:val="both"/>
      </w:pPr>
      <w:r>
        <w:t xml:space="preserve">Hipóteses registradas na EDA: </w:t>
      </w:r>
      <w:r>
        <w:rPr>
          <w:b/>
        </w:rPr>
        <w:t>H1</w:t>
      </w:r>
      <w:r>
        <w:t xml:space="preserve"> — calor da tarde eleva alertas térmicos (</w:t>
      </w:r>
      <w:r>
        <w:rPr>
          <w:b/>
        </w:rPr>
        <w:t>não confirmada</w:t>
      </w:r>
      <w:r>
        <w:t xml:space="preserve">: o pico de taxa é às 21 h e o turno noturno supera o diurno — o regime de operação pesa mais que a temperatura ambiente nesta base); </w:t>
      </w:r>
      <w:r>
        <w:rPr>
          <w:b/>
        </w:rPr>
        <w:t>H2</w:t>
      </w:r>
      <w:r>
        <w:t xml:space="preserve"> — operadores diferem na taxa de alerta em equipamentos comparáveis (confirmada: entre os 124 operadores com ≥800 decisões, a taxa varia de 0% a 15,3%; ver 4.6); </w:t>
      </w:r>
      <w:r>
        <w:rPr>
          <w:b/>
        </w:rPr>
        <w:t>H3</w:t>
      </w:r>
      <w:r>
        <w:t xml:space="preserve"> — frotas diferem estruturalmente na incidência (confirmada: 16× entre a 793-D 3S e a L-1850, e 2,6× dentro dos próprios caminhões 793-D); </w:t>
      </w:r>
      <w:r>
        <w:rPr>
          <w:b/>
        </w:rPr>
        <w:t>H4</w:t>
      </w:r>
      <w:r>
        <w:t xml:space="preserve"> — risco cai logo após manutenção (</w:t>
      </w:r>
      <w:r>
        <w:rPr>
          <w:b/>
        </w:rPr>
        <w:t>não confirmada com clareza</w:t>
      </w:r>
      <w:r>
        <w:t xml:space="preserve">: </w:t>
      </w:r>
      <w:r>
        <w:rPr>
          <w:rFonts w:ascii="Consolas" w:hAnsi="Consolas"/>
          <w:sz w:val="18"/>
        </w:rPr>
        <w:t>h_desde_manutencao</w:t>
      </w:r>
      <w:r>
        <w:t xml:space="preserve"> ficou fora do top-10 do SHAP); </w:t>
      </w:r>
      <w:r>
        <w:rPr>
          <w:b/>
        </w:rPr>
        <w:t>H5</w:t>
      </w:r>
      <w:r>
        <w:t xml:space="preserve"> — fim de mês concentra alertas por pressão de produção (não confirmada — a variação entre quinzenas acompanha episódios específicos, não o calendário).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80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heatmap_correl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0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taxa_hora_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0B6E5D"/>
          <w:sz w:val="25"/>
        </w:rPr>
        <w:t>3.3 Preparação dos dados (CM 3.1, 3.2, 3.3)</w:t>
      </w:r>
    </w:p>
    <w:p>
      <w:pPr>
        <w:jc w:val="both"/>
      </w:pPr>
      <w:r>
        <w:rPr>
          <w:b/>
        </w:rPr>
        <w:t>Limpeza e tratamento (CM 3.1).</w:t>
      </w:r>
      <w:r>
        <w:t xml:space="preserve"> Toda alteração foi registrada com ANTES/DEPOIS e justificativa (arquivo </w:t>
      </w:r>
      <w:r>
        <w:rPr>
          <w:rFonts w:ascii="Consolas" w:hAnsi="Consolas"/>
          <w:sz w:val="18"/>
        </w:rPr>
        <w:t>relatorio/tabelas/controle_alteracoes.csv</w:t>
      </w:r>
      <w:r>
        <w:t>):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6"/>
              </w:rPr>
              <w:t>Tabela / Campo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Problema identificado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Qtd.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Tratamento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Justificativa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Apontamentos / Operador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Extrato de origem não traz operador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377.907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Derivação por merge_asof com a telemetria (mesma Tag, evento mais próximo do início do ciclo, tolerância 6 h)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O comportamento do operador é uma das perguntas do desafio; a telemetria carrega o operador do turno e permite reconstruí-lo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Apontamentos / Operador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Ciclo sem evento de telemetria em ±6 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70.132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Categoria "OP_DESCONHECIDO"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Excluir descartaria horas operadas válidas (inclui 15 Tags sem telemetria no período)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Apontamentos / Fim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Sobreposição de ciclos na mesma Tag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326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Fim truncado no início do ciclo seguinte (264 ciclos zerados removidos)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Um equipamento não executa dois apontamentos simultâneos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Apontamentos / Inicio, Fim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Duplicatas, inversões Inicio&gt;Fim, duração zero ou &gt;24 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— (verificado)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Base de apontamentos notavelmente consistente; as verificações permanecem no pipeline como salvaguarda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Telemetria / Valor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Vírgula decimal e valores não numéricos ("NULL")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237.443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Normalização da vírgula + coerção para NaN, linha mantida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O disparo das regras depende do evento e do nível, não do Valor; imputar leitura inexistente criaria informação falsa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Telemetria / todas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Eventos duplicados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— (verificado)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Sem reprocessamentos do coletor nesta extração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Catálogo CMA / NIVEL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Grafias inconsistentes ("Muito alto"/"Muito Alto")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Padronização (title case)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Sem isso, a agregação por criticidade divide a mesma categoria em duas</w:t>
            </w:r>
          </w:p>
        </w:tc>
      </w:tr>
    </w:tbl>
    <w:p/>
    <w:p>
      <w:pPr>
        <w:jc w:val="both"/>
      </w:pPr>
      <w:r>
        <w:t xml:space="preserve">Resultado: 377.907 → </w:t>
      </w:r>
      <w:r>
        <w:rPr>
          <w:b/>
        </w:rPr>
        <w:t>377.643</w:t>
      </w:r>
      <w:r>
        <w:t xml:space="preserve"> apontamentos e 37.164.054 eventos válidos (nenhum descartado). </w:t>
      </w:r>
      <w:r>
        <w:rPr>
          <w:b/>
        </w:rPr>
        <w:t>Outliers:</w:t>
      </w:r>
      <w:r>
        <w:t xml:space="preserve"> optou-se por </w:t>
      </w:r>
      <w:r>
        <w:rPr>
          <w:b/>
        </w:rPr>
        <w:t>manter</w:t>
      </w:r>
      <w:r>
        <w:t xml:space="preserve"> valores extremos de contagem de eventos (ex.: rajadas de milhares de eventos/dia da L-1850) — em telemetria de degradação, o outlier frequentemente </w:t>
      </w:r>
      <w:r>
        <w:rPr>
          <w:b/>
        </w:rPr>
        <w:t>é</w:t>
      </w:r>
      <w:r>
        <w:t xml:space="preserve"> o sinal, e os modelos escolhidos (árvores) são robustos a caudas. A exceção documentada foi o tratamento estrutural do fatiamento de 60 min via reconstrução de episódios (usada no impacto de negócio, seção 4.6).</w:t>
      </w:r>
    </w:p>
    <w:p>
      <w:pPr>
        <w:jc w:val="both"/>
      </w:pPr>
      <w:r>
        <w:rPr>
          <w:b/>
        </w:rPr>
        <w:t>Engenharia de features (CM 3.2).</w:t>
      </w:r>
      <w:r>
        <w:t xml:space="preserve"> 50 features em cinco famílias — todas calculadas apenas com informação anterior ao instante de decisão t: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6"/>
              </w:rPr>
              <w:t>Feature (família)</w:t>
            </w:r>
          </w:p>
        </w:tc>
        <w:tc>
          <w:tcPr>
            <w:tcW w:type="dxa" w:w="2351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2351"/>
          </w:tcPr>
          <w:p>
            <w:r>
              <w:rPr>
                <w:b/>
                <w:sz w:val="16"/>
              </w:rPr>
              <w:t>Fórmula / Lógica</w:t>
            </w:r>
          </w:p>
        </w:tc>
        <w:tc>
          <w:tcPr>
            <w:tcW w:type="dxa" w:w="2351"/>
          </w:tcPr>
          <w:p>
            <w:r>
              <w:rPr>
                <w:b/>
                <w:sz w:val="16"/>
              </w:rPr>
              <w:t>Motivação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n_crit{1,2,3}_{4,12,24,72}h</w:t>
            </w:r>
            <w:r>
              <w:rPr>
                <w:sz w:val="16"/>
              </w:rPr>
              <w:t xml:space="preserve"> (12)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Contagem de eventos por criticidade em janelas retroativas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nº de eventos da Tag com Id_Criticidade=c em (t−N h, t]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 escada de severidade é o precursor físico do don't go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n_dg_{4,12,24,72}h</w:t>
            </w:r>
            <w:r>
              <w:rPr>
                <w:sz w:val="16"/>
              </w:rPr>
              <w:t xml:space="preserve"> (4)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Contagem de eventos cujo alarme consta no catálogo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idem, filtrado por Is_Dont_Go=1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Aproximação direta das pré-condições das regras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quase_gatilhos_{12,24}h</w:t>
            </w:r>
            <w:r>
              <w:rPr>
                <w:sz w:val="16"/>
              </w:rPr>
              <w:t xml:space="preserve"> (2)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Nº de vezes em que um evento do catálogo se repetiu em &lt; 6 h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2ª ocorrência do mesmo EVENTO da Tag dentro de 6 h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Regras exigem QTD 2–10 na janela; a 2ª ocorrência é o "meio caminho" mensurável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n_tendencia_24h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Eventos de tendência em 24 h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contagem por nome no conjunto TENDÊNCIA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Tendências são desenhadas pela engenharia como precursoras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h_desde_crit1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h_desde_alerta_dg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Horas desde o último evento crítico / último alerta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 − max(timestamp ≤ t), teto 240 h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Recorrência: falha recente prediz falha próxima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razao_taxa_24h_30d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Taxa de eventos 24 h ÷ taxa média 30 d da própria Tag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n_24h / (n_720h/30)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Normaliza o "temperamento" de cada equipamento; captura anomalia relativa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horas_operadas_24h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ciclos_24h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duracao_min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razao_duracao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Utilização e ritmo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somas/contagens de apontamentos; duração ÷ mediana da (Tag, Classe)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Exposição ao risco e ciclos anômalos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h_desde_manutencao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Horas desde a última manutenção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idem "desde último" (a base traz classe única "Manutenção")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Saúde renovada após intervenção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hora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hora_sin/cos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dia_semana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fim_de_semana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turno_{A,B}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Calendário e turno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extração direta + codificação cíclica; turnos de 12 h (06–18/18–06)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Padrões de regime diurno/noturno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frota_*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tipo_*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classe_*</w:t>
            </w:r>
            <w:r>
              <w:rPr>
                <w:sz w:val="16"/>
              </w:rPr>
              <w:t xml:space="preserve"> (one-hot)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Cadastro do equipamento e classe do ciclo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one-hot (cardinalidade ≤ 5)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Diferenças estruturais entre frotas (H3)</w:t>
            </w:r>
          </w:p>
        </w:tc>
      </w:tr>
      <w:tr>
        <w:tc>
          <w:tcPr>
            <w:tcW w:type="dxa" w:w="2351"/>
          </w:tcPr>
          <w:p>
            <w:r>
              <w:rPr>
                <w:rFonts w:ascii="Consolas" w:hAnsi="Consolas"/>
                <w:sz w:val="16"/>
              </w:rPr>
              <w:t>tag_taxa_alerta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op_taxa_alerta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op_desconhecido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Taxa histórica de alerta do equipamento e do operador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 xml:space="preserve">target encoding com suavização bayesiana (m=50), </w:t>
            </w:r>
            <w:r>
              <w:rPr>
                <w:b/>
                <w:sz w:val="16"/>
              </w:rPr>
              <w:t>estimado só em jan–mar</w:t>
            </w:r>
            <w:r>
              <w:rPr>
                <w:sz w:val="16"/>
              </w:rPr>
              <w:t xml:space="preserve"> (anterior a todas as janelas de validação)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Cardinalidade alta (47 Tags, 396 operadores) inviabiliza one-hot; taxa histórica carrega o sinal (H2)</w:t>
            </w:r>
          </w:p>
        </w:tc>
      </w:tr>
    </w:tbl>
    <w:p/>
    <w:p>
      <w:pPr>
        <w:jc w:val="both"/>
      </w:pPr>
      <w:r>
        <w:rPr>
          <w:b/>
        </w:rPr>
        <w:t>Encoding categórico — justificativa:</w:t>
      </w:r>
      <w:r>
        <w:t xml:space="preserve"> one-hot para baixa cardinalidade (Frota 5, Tipo 2, Classe 3, turno 2) por ser lossless e interpretável; target encoding suavizado para </w:t>
      </w:r>
      <w:r>
        <w:rPr>
          <w:rFonts w:ascii="Consolas" w:hAnsi="Consolas"/>
          <w:sz w:val="18"/>
        </w:rPr>
        <w:t>Tag</w:t>
      </w:r>
      <w:r>
        <w:t xml:space="preserve"> e </w:t>
      </w:r>
      <w:r>
        <w:rPr>
          <w:rFonts w:ascii="Consolas" w:hAnsi="Consolas"/>
          <w:sz w:val="18"/>
        </w:rPr>
        <w:t>Operador</w:t>
      </w:r>
      <w:r>
        <w:t xml:space="preserve"> (alta cardinalidade), estimado exclusivamente em jan–mar/2025 — anterior às duas janelas de tuning e ao teste — para evitar qualquer vazamento; </w:t>
      </w:r>
      <w:r>
        <w:rPr>
          <w:rFonts w:ascii="Consolas" w:hAnsi="Consolas"/>
          <w:sz w:val="18"/>
        </w:rPr>
        <w:t>OP_DESCONHECIDO</w:t>
      </w:r>
      <w:r>
        <w:t xml:space="preserve"> mantido como categoria com flag própria.</w:t>
      </w:r>
    </w:p>
    <w:p>
      <w:pPr>
        <w:jc w:val="both"/>
      </w:pPr>
      <w:r>
        <w:rPr>
          <w:b/>
        </w:rPr>
        <w:t>Definição da variável alvo (CM 3.3).</w:t>
      </w:r>
      <w:r>
        <w:t xml:space="preserve"> A rotulagem aplica as 151 regras do catálogo sobre a telemetria limpa. Interpretações registradas (controle de decisões metodológicas):</w:t>
      </w:r>
    </w:p>
    <w:p>
      <w:pPr>
        <w:pStyle w:val="ListBullet"/>
      </w:pPr>
      <w:r>
        <w:t>Equivalência de níveis: "alarme nível 3" ≡ Id_Criticidade 1 (Crítico); "nível 2" ≡ 2 (Não Crítico); "nível 1" ≡ 3 (Informacional).</w:t>
      </w:r>
    </w:p>
    <w:p>
      <w:pPr>
        <w:pStyle w:val="ListBullet"/>
      </w:pPr>
      <w:r>
        <w:t>"N alarmes consecutivos" foi aproximado por "QTD ocorrências dentro de TEMPO minutos" — sem o estado intermediário do alarme não é possível verificar interrupções; a aproximação nunca dispara com menos eventos que o exigido.</w:t>
      </w:r>
    </w:p>
    <w:p>
      <w:pPr>
        <w:pStyle w:val="ListBullet"/>
      </w:pPr>
      <w:r>
        <w:t>Regras SISTEMA (Minecare/MEMS) disparariam na ocorrência do evento; nesta extração esses eventos não ocorrem.</w:t>
      </w:r>
    </w:p>
    <w:p>
      <w:pPr>
        <w:pStyle w:val="ListBullet"/>
      </w:pPr>
      <w:r>
        <w:rPr>
          <w:b/>
        </w:rPr>
        <w:t>Cooldown de 6 h</w:t>
      </w:r>
      <w:r>
        <w:t xml:space="preserve"> por (equipamento, regra) e colapso de disparos da mesma (Tag, EVENTO) em 30 min (prevalece o de maior NIVEL): um episódio físico único não deve virar dezenas de alertas. Resultado: </w:t>
      </w:r>
      <w:r>
        <w:rPr>
          <w:b/>
        </w:rPr>
        <w:t>1.974 alertas</w:t>
      </w:r>
      <w:r>
        <w:t xml:space="preserve"> don't go consolidados.</w:t>
      </w:r>
    </w:p>
    <w:p>
      <w:pPr>
        <w:jc w:val="both"/>
      </w:pPr>
      <w:r>
        <w:rPr>
          <w:b/>
        </w:rPr>
        <w:t>Estratégia do target:</w:t>
      </w:r>
      <w:r>
        <w:t xml:space="preserve"> classificação binária — </w:t>
      </w:r>
      <w:r>
        <w:rPr>
          <w:rFonts w:ascii="Consolas" w:hAnsi="Consolas"/>
          <w:sz w:val="18"/>
        </w:rPr>
        <w:t>y=1</w:t>
      </w:r>
      <w:r>
        <w:t xml:space="preserve"> se existe alerta don't go do equipamento em (t, t+4 h], onde t é o fim de cada apontamento fora de manutenção. </w:t>
      </w:r>
      <w:r>
        <w:rPr>
          <w:b/>
        </w:rPr>
        <w:t>Justificativa da janela de 4 h:</w:t>
      </w:r>
      <w:r>
        <w:t xml:space="preserve"> é o tempo operacional mínimo para ação corretiva sem caos — o despacho completa o ciclo corrente (~30 min), redireciona a máquina para rota próxima da oficina e a manutenção prepara box/peças/equipe (2–3 h); janelas maiores (8 h+) diluem a precisão e viram "previsão de turno", janelas menores (1–2 h) não dão tempo de agir. A formulação por regressão do tempo-até-alerta foi considerada e descartada nesta fase: 95,1% dos pontos não têm alerta em horizonte curto (censura pesada), e a decisão operacional é binária (inspecionar ou não).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57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janela_predi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0B6E5D"/>
          <w:sz w:val="25"/>
        </w:rPr>
        <w:t>3.4 Estratégia de validação (CM 4.1)</w:t>
      </w:r>
    </w:p>
    <w:p>
      <w:pPr>
        <w:jc w:val="both"/>
      </w:pPr>
      <w:r>
        <w:t>Dados temporais não podem ser divididos aleatoriamente: um k-fold padrão colocaria a tarde de uma degradação no treino e a manhã da mesma degradação no teste — o modelo "preveria" um episódio que já viu pela metade, inflando todas as métricas (data leakage). Além disso, os encodings de taxa histórica (Tag/operador) seriam contaminados com informação do futuro.</w:t>
      </w:r>
    </w:p>
    <w:p>
      <w:pPr>
        <w:jc w:val="both"/>
      </w:pPr>
      <w:r>
        <w:t xml:space="preserve">Adotou-se </w:t>
      </w:r>
      <w:r>
        <w:rPr>
          <w:b/>
        </w:rPr>
        <w:t>hold-out temporal</w:t>
      </w:r>
      <w:r>
        <w:t xml:space="preserve"> com cortes fixos (Figura 8): </w:t>
      </w:r>
      <w:r>
        <w:rPr>
          <w:b/>
        </w:rPr>
        <w:t>treino final = 01/01/2025 a 30/04/2025</w:t>
      </w:r>
      <w:r>
        <w:t xml:space="preserve"> (230.009 pontos, 66,9%, prevalência 5,72%); </w:t>
      </w:r>
      <w:r>
        <w:rPr>
          <w:b/>
        </w:rPr>
        <w:t>validação = mai/2025</w:t>
      </w:r>
      <w:r>
        <w:t xml:space="preserve"> (58.954 pontos, 17,2%, 3,14%) — usada para escolha dos limiares de operação; </w:t>
      </w:r>
      <w:r>
        <w:rPr>
          <w:b/>
        </w:rPr>
        <w:t>teste = jun/2025</w:t>
      </w:r>
      <w:r>
        <w:t xml:space="preserve"> (54.700 pontos, 15,9%, 3,29%) — avaliado </w:t>
      </w:r>
      <w:r>
        <w:rPr>
          <w:b/>
        </w:rPr>
        <w:t>uma única vez</w:t>
      </w:r>
      <w:r>
        <w:t>, com limiares congelados.</w:t>
      </w:r>
    </w:p>
    <w:p>
      <w:pPr>
        <w:jc w:val="both"/>
      </w:pPr>
      <w:r>
        <w:rPr>
          <w:b/>
        </w:rPr>
        <w:t>Tuning em duas janelas.</w:t>
      </w:r>
      <w:r>
        <w:t xml:space="preserve"> Um único mês de validação pode eleger hiperparâmetros ajustados às idiossincrasias daquele mês — e maio muda de regime na 2ª quinzena (a prevalência cai de 3,9% para 2,5%; seção 4.2). Por isso cada configuração candidata foi avaliada em </w:t>
      </w:r>
      <w:r>
        <w:rPr>
          <w:b/>
        </w:rPr>
        <w:t>duas janelas walk-forward independentes</w:t>
      </w:r>
      <w:r>
        <w:t xml:space="preserve"> — (treino jan–mar → validação abr) e (treino jan–abr → validação mai) — e a seleção usou a </w:t>
      </w:r>
      <w:r>
        <w:rPr>
          <w:b/>
        </w:rPr>
        <w:t>média do average precision</w:t>
      </w:r>
      <w:r>
        <w:t xml:space="preserve"> das duas. Para eliminar vazamento nas duas janelas, os target encodings de equipamento e operador foram estimados apenas em jan–mar. Nenhuma estatística (encodings, escalas, hiperparâmetros) viu dados de validação ou teste.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6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validacao_tempor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0B6E5D"/>
          <w:sz w:val="25"/>
        </w:rPr>
        <w:t>3.5 Baseline e modelagem principal (CM 4.2, 4.3)</w:t>
      </w:r>
    </w:p>
    <w:p>
      <w:pPr>
        <w:jc w:val="both"/>
      </w:pPr>
      <w:r>
        <w:rPr>
          <w:b/>
        </w:rPr>
        <w:t>Baselines (CM 4.2).</w:t>
      </w:r>
      <w:r>
        <w:t xml:space="preserve"> (1) </w:t>
      </w:r>
      <w:r>
        <w:rPr>
          <w:b/>
        </w:rPr>
        <w:t>Dummy</w:t>
      </w:r>
      <w:r>
        <w:t xml:space="preserve"> — probabilidade a priori da classe (piso estatístico: AUC-PR = prevalência = 0,033 no teste). (2) </w:t>
      </w:r>
      <w:r>
        <w:rPr>
          <w:b/>
        </w:rPr>
        <w:t>Heurística do despacho</w:t>
      </w:r>
      <w:r>
        <w:t xml:space="preserve"> — score = nº de alarmes do catálogo don't go nas últimas 12 h: é a melhor aproximação do que um despachante atento faz hoje olhando o painel, e o baseline honesto a ser batido (teste: AUC-ROC 0,750, AUC-PR 0,245).</w:t>
      </w:r>
    </w:p>
    <w:p>
      <w:pPr>
        <w:jc w:val="both"/>
      </w:pPr>
      <w:r>
        <w:rPr>
          <w:b/>
        </w:rPr>
        <w:t>Abordagem 1 — supervisionada (classificação).</w:t>
      </w:r>
      <w:r>
        <w:t xml:space="preserve"> Três famílias com complexidade crescente, todas selecionadas pela média de AP nas duas janelas de tuning:</w:t>
      </w:r>
    </w:p>
    <w:p>
      <w:pPr>
        <w:pStyle w:val="ListBullet"/>
      </w:pPr>
      <w:r>
        <w:rPr>
          <w:b/>
        </w:rPr>
        <w:t>Regressão Logística</w:t>
      </w:r>
      <w:r>
        <w:t xml:space="preserve"> (StandardScaler + class_weight=balanced; C ∈ {0,01; 0,1; 1; 10} → C=0,1). Papel: fronteira linear interpretável.</w:t>
      </w:r>
    </w:p>
    <w:p>
      <w:pPr>
        <w:pStyle w:val="ListBullet"/>
      </w:pPr>
      <w:r>
        <w:rPr>
          <w:b/>
        </w:rPr>
        <w:t>Random Forest</w:t>
      </w:r>
      <w:r>
        <w:t xml:space="preserve"> (400 árvores, max_features=√p, class_weight=balanced_subsample; min_samples_leaf ∈ {5, 20, 60} → 60). Papel: não linearidades sem tuning pesado.</w:t>
      </w:r>
    </w:p>
    <w:p>
      <w:pPr>
        <w:pStyle w:val="ListBullet"/>
      </w:pPr>
      <w:r>
        <w:rPr>
          <w:b/>
        </w:rPr>
        <w:t>LightGBM</w:t>
      </w:r>
      <w:r>
        <w:t xml:space="preserve"> — </w:t>
      </w:r>
      <w:r>
        <w:rPr>
          <w:b/>
        </w:rPr>
        <w:t>busca aleatória com 30 configurações</w:t>
      </w:r>
      <w:r>
        <w:t xml:space="preserve"> sobre num_leaves {15–127}, learning_rate log-uniforme [0,01; 0,2], min_child_samples {10–200}, feature_fraction e bagging_fraction [0,6; 1,0], regularizações L1/L2 log-uniformes e scale_pos_weight {1; √16,5; 16,5}, com early stopping (60 rodadas) monitorando average precision. Configuração vencedora (AP médio 0,223): num_leaves=31, learning_rate=0,011, min_child_samples=10, feature_fraction=0,75, bagging_fraction=0,93, reg_alpha=1,71, scale_pos_weight=√16,5≈4,1 e apenas </w:t>
      </w:r>
      <w:r>
        <w:rPr>
          <w:b/>
        </w:rPr>
        <w:t>3 árvores</w:t>
      </w:r>
      <w:r>
        <w:t xml:space="preserve"> — mesmo com duas janelas, a busca convergiu para um modelo compacto: com features de janela retroativa já muito informativas, poucas árvores capturam o sinal estável entre regimes, e modelos maiores se ajustam a padrões que não persistem de um mês para o outro. A seleção por AUC-PR (e não accuracy/AUC-ROC) é deliberada: com ~5% de positivos, é a métrica que discrimina modelos na região operacional.</w:t>
      </w:r>
    </w:p>
    <w:p>
      <w:pPr>
        <w:jc w:val="both"/>
      </w:pPr>
      <w:r>
        <w:rPr>
          <w:b/>
        </w:rPr>
        <w:t>Abordagem 2 — sobrevivência (Weibull AFT).</w:t>
      </w:r>
      <w:r>
        <w:t xml:space="preserve"> Em vez de "haverá alerta em 4 h?", o modelo de tempo de falha acelerado pergunta </w:t>
      </w:r>
      <w:r>
        <w:rPr>
          <w:b/>
        </w:rPr>
        <w:t>"quanto tempo até o próximo alerta?"</w:t>
      </w:r>
      <w:r>
        <w:t xml:space="preserve">. Cada ponto de decisão vira uma observação com duração T (horas até o próximo don't go) e indicador de evento; pontos sem alerta observado são </w:t>
      </w:r>
      <w:r>
        <w:rPr>
          <w:b/>
        </w:rPr>
        <w:t>censurados à direita</w:t>
      </w:r>
      <w:r>
        <w:t xml:space="preserve"> (fim da base em 30/06 ou teto de 21 dias) — ignorar a censura enviesaria qualquer regressão simples de tempo, e é exatamente o problema que a formulação de sobrevivência resolve. Implementação: </w:t>
      </w:r>
      <w:r>
        <w:rPr>
          <w:rFonts w:ascii="Consolas" w:hAnsi="Consolas"/>
          <w:sz w:val="18"/>
        </w:rPr>
        <w:t>WeibullAFTFitter</w:t>
      </w:r>
      <w:r>
        <w:t xml:space="preserve"> (lifelines, penalizer=0,01) sobre as 16 features de maior sinal, padronizadas no treino; 155.754 eventos observados em 230.009 observações de treino. O modelo produz duas saídas: o </w:t>
      </w:r>
      <w:r>
        <w:rPr>
          <w:b/>
        </w:rPr>
        <w:t>risco acumulado em 4 h</w:t>
      </w:r>
      <w:r>
        <w:t xml:space="preserve"> (1 − S(4|x)), diretamente comparável aos classificadores, e os </w:t>
      </w:r>
      <w:r>
        <w:rPr>
          <w:b/>
        </w:rPr>
        <w:t>fatores de aceleração</w:t>
      </w:r>
      <w:r>
        <w:t xml:space="preserve"> exp(coef) por desvio-padrão — interpretabilidade nativa (seção 4.4).</w:t>
      </w:r>
    </w:p>
    <w:p>
      <w:pPr>
        <w:jc w:val="both"/>
      </w:pPr>
      <w:r>
        <w:rPr>
          <w:b/>
        </w:rPr>
        <w:t>Abordagem 3 — não supervisionada.</w:t>
      </w:r>
      <w:r>
        <w:t xml:space="preserve"> (a) </w:t>
      </w:r>
      <w:r>
        <w:rPr>
          <w:b/>
        </w:rPr>
        <w:t>Isolation Forest</w:t>
      </w:r>
      <w:r>
        <w:t xml:space="preserve"> (300 árvores, max_samples=0,5) treinado </w:t>
      </w:r>
      <w:r>
        <w:rPr>
          <w:b/>
        </w:rPr>
        <w:t>apenas com operação normal</w:t>
      </w:r>
      <w:r>
        <w:t xml:space="preserve"> (pontos de treino sem alerta nas 4 h seguintes) e sem os encodings supervisionados; os alertas do teste servem só como ground truth de validação. Pergunta: o desvio do padrão normal antecede o don't go mesmo sem rótulo? (b) </w:t>
      </w:r>
      <w:r>
        <w:rPr>
          <w:b/>
        </w:rPr>
        <w:t>K-Means</w:t>
      </w:r>
      <w:r>
        <w:t xml:space="preserve"> (k=4, features padronizadas) sobre agregados equipamento-dia, para descobrir perfis de comportamento e sua associação com a incidência de alertas.</w:t>
      </w:r>
    </w:p>
    <w:p>
      <w:pPr>
        <w:pStyle w:val="Heading1"/>
      </w:pPr>
      <w:r>
        <w:rPr>
          <w:rFonts w:ascii="Arial" w:hAnsi="Arial"/>
          <w:color w:val="0B6E5D"/>
          <w:sz w:val="30"/>
        </w:rPr>
        <w:t>4. Resultados e Discussões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4.1 Seleção de métricas e comparação de modelos (CM 5.1)</w:t>
      </w:r>
    </w:p>
    <w:p>
      <w:pPr>
        <w:jc w:val="both"/>
      </w:pPr>
      <w:r>
        <w:t xml:space="preserve">Com prevalência de 3,3% no teste, accuracy é inútil (o Dummy "acerta" 96,7%). As métricas primárias são </w:t>
      </w:r>
      <w:r>
        <w:rPr>
          <w:b/>
        </w:rPr>
        <w:t>AUC-PR</w:t>
      </w:r>
      <w:r>
        <w:t xml:space="preserve"> (qualidade do ranking na região rara), </w:t>
      </w:r>
      <w:r>
        <w:rPr>
          <w:b/>
        </w:rPr>
        <w:t>Recall</w:t>
      </w:r>
      <w:r>
        <w:t xml:space="preserve"> e </w:t>
      </w:r>
      <w:r>
        <w:rPr>
          <w:b/>
        </w:rPr>
        <w:t>Precision</w:t>
      </w:r>
      <w:r>
        <w:t xml:space="preserve"> no limiar operacional e </w:t>
      </w:r>
      <w:r>
        <w:rPr>
          <w:b/>
        </w:rPr>
        <w:t>AUC-ROC</w:t>
      </w:r>
      <w:r>
        <w:t xml:space="preserve"> como visão complementar. O </w:t>
      </w:r>
      <w:r>
        <w:rPr>
          <w:b/>
        </w:rPr>
        <w:t>custo dos erros é assimétrico</w:t>
      </w:r>
      <w:r>
        <w:t xml:space="preserve">: um falso negativo é uma parada não planejada (horas de máquina, risco de dano secundário e de segurança); um falso positivo é ~1 h de inspeção. O modelo campeão opera em </w:t>
      </w:r>
      <w:r>
        <w:rPr>
          <w:b/>
        </w:rPr>
        <w:t>dois limiares escolhidos na validação</w:t>
      </w:r>
      <w:r>
        <w:t xml:space="preserve">: o ponto F2 (recall pesa o dobro da precisão — prioriza captura) e o ponto </w:t>
      </w:r>
      <w:r>
        <w:rPr>
          <w:b/>
        </w:rPr>
        <w:t>custo-ótimo</w:t>
      </w:r>
      <w:r>
        <w:t>, que maximiza o benefício líquido estimado em R$ sob as premissas financeiras explícitas (seção 4.6).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rPr>
                <w:b/>
                <w:sz w:val="16"/>
              </w:rPr>
              <w:t>Modelo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Conjunto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Recall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F1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F2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AUC-ROC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AUC-PR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Observações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Dummy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0,033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0,064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0,145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0,500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0,033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piso estatístico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Heurística (alarmes 12 h)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0,147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0,590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0,235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0,368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0,750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0,245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prática atual do painel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Regressão Logística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0,107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0,624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0,183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0,318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0,847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0,279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C=0,1, balanced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Random Forest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0,161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0,664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0,259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0,409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0,868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0,320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leaf=60; maior AUC-PR</w:t>
            </w:r>
          </w:p>
        </w:tc>
      </w:tr>
      <w:tr>
        <w:tc>
          <w:tcPr>
            <w:tcW w:type="dxa" w:w="1045"/>
          </w:tcPr>
          <w:p>
            <w:r>
              <w:rPr>
                <w:b/>
                <w:sz w:val="16"/>
              </w:rPr>
              <w:t>LightGBM (campeão)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teste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0,187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0,595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0,284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0,414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0,870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0,296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limiar F2=0,062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Weibull AFT (risco em 4 h)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0,841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0,266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C-index 0,781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Isolation Forest (não superv.)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0,560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0,174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sem rótulo no treino</w:t>
            </w:r>
          </w:p>
        </w:tc>
      </w:tr>
    </w:tbl>
    <w:p/>
    <w:p>
      <w:pPr>
        <w:jc w:val="both"/>
      </w:pPr>
      <w:r>
        <w:t xml:space="preserve">A seleção do campeão seguiu o critério pré-registrado — média de AP nas duas janelas de tuning: LightGBM 0,223 &gt; RF 0,216 &gt; RL 0,119 ≈ Heurística 0,102. No teste o resultado é um </w:t>
      </w:r>
      <w:r>
        <w:rPr>
          <w:b/>
        </w:rPr>
        <w:t>empate técnico entre os dois modelos de árvore</w:t>
      </w:r>
      <w:r>
        <w:t>: o LightGBM lidera em AUC-ROC (0,870) e F2 (0,414); o Random Forest, em AUC-PR (0,320) — a diferença entre eles é menor que a oscilação quinzenal do próprio teste (seção 4.2), e ambos superam com folga a heurística. Mantém-se o LightGBM como campeão pelo critério definido antes de tocar o teste; trocar de modelo depois de ver o teste seria exatamente o vício metodológico que o desenho evita. O Weibull AFT, com formulação completamente diferente (tempo até o evento, com censura), confirma o mesmo ranking de risco (AUC-ROC 0,841) — três famílias de modelo concordando é evidência de sinal real, não de artefato. As curvas ROC e PR estão na Figura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008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oc_p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0B6E5D"/>
          <w:sz w:val="25"/>
        </w:rPr>
        <w:t>4.2 Análise de erros (CM 5.2)</w:t>
      </w:r>
    </w:p>
    <w:p>
      <w:pPr>
        <w:jc w:val="both"/>
      </w:pPr>
      <w:r>
        <w:rPr>
          <w:b/>
        </w:rPr>
        <w:t>Matriz de confusão (teste, limiar F2 = 0,062):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rPr>
                <w:b/>
                <w:sz w:val="16"/>
              </w:rPr>
              <w:t>Previsto: sem alerta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Previsto: alerta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6"/>
              </w:rPr>
              <w:t>Real: sem alerta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VN = 48.246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FP = 4.655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6"/>
              </w:rPr>
              <w:t>Real: alerta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FN = 729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VP = 1.070</w:t>
            </w:r>
          </w:p>
        </w:tc>
      </w:tr>
    </w:tbl>
    <w:p/>
    <w:p>
      <w:pPr>
        <w:jc w:val="both"/>
      </w:pPr>
      <w:r>
        <w:t xml:space="preserve">Tradução operacional: no ponto F2, o modelo teria emitido 5.725 cartões de inspeção em junho (~191/dia na frota de 47) — uma carga desenhada para capturar o máximo de alertas (59,5% dos pontos positivos), adequada se a inspeção for barata e distribuída (verificação visual no abastecimento, por exemplo). No </w:t>
      </w:r>
      <w:r>
        <w:rPr>
          <w:b/>
        </w:rPr>
        <w:t>ponto custo-ótimo</w:t>
      </w:r>
      <w:r>
        <w:t xml:space="preserve"> (limiar 0,074), os cartões caem para 1.340/mês (~45/dia, ~1 por equipamento-dia), com precisão de 41,9% — quase um acerto a cada dois cartões. A escolha entre os dois pontos é uma decisão de capacidade da equipe, e a seção 4.6 quantifica o valor de cada um. Os falsos negativos (729 no ponto F2) são o custo residual: paradas que continuariam chegando sem aviso.</w:t>
      </w:r>
    </w:p>
    <w:p>
      <w:pPr>
        <w:jc w:val="both"/>
      </w:pPr>
      <w:r>
        <w:rPr>
          <w:b/>
        </w:rPr>
        <w:t>Casos extremos — onde o modelo sistematicamente falha (Figura 10 e tabelas de FN, no limiar F2):</w:t>
      </w:r>
    </w:p>
    <w:p>
      <w:pPr>
        <w:pStyle w:val="ListBullet"/>
      </w:pPr>
      <w:r>
        <w:rPr>
          <w:b/>
        </w:rPr>
        <w:t>Frota LeTourneau L 1850: 100% de FN</w:t>
      </w:r>
      <w:r>
        <w:t xml:space="preserve"> (7 positivos, todos perdidos). É a frota com os alertas mais raros (2,1/1.000 h — 16× menos que os caminhões) e as regras dos seus eventos (</w:t>
      </w:r>
      <w:r>
        <w:rPr>
          <w:rFonts w:ascii="Consolas" w:hAnsi="Consolas"/>
          <w:sz w:val="18"/>
        </w:rPr>
        <w:t>Hydraulic Reservoir Oil Temperature Critically High</w:t>
      </w:r>
      <w:r>
        <w:t>) são de disparo imediato, com pouca escada precursora; paradoxalmente, é também a frota que gera 91% do volume de telemetria — quase todo informacional.</w:t>
      </w:r>
    </w:p>
    <w:p>
      <w:pPr>
        <w:pStyle w:val="ListBullet"/>
      </w:pPr>
      <w:r>
        <w:rPr>
          <w:b/>
        </w:rPr>
        <w:t>Assimetria entre subsistemas de freio:</w:t>
      </w:r>
      <w:r>
        <w:t xml:space="preserve"> </w:t>
      </w:r>
      <w:r>
        <w:rPr>
          <w:rFonts w:ascii="Consolas" w:hAnsi="Consolas"/>
          <w:sz w:val="18"/>
        </w:rPr>
        <w:t>Right Front Brake Temperature - Active</w:t>
      </w:r>
      <w:r>
        <w:t xml:space="preserve"> tem apenas 5,8% de FN (480 positivos — o modelo domina o padrão), enquanto as temperaturas de freio </w:t>
      </w:r>
      <w:r>
        <w:rPr>
          <w:b/>
        </w:rPr>
        <w:t>traseiras</w:t>
      </w:r>
      <w:r>
        <w:t xml:space="preserve"> têm ~67% de FN (168 positivos). O precursor existe no eixo dianteiro e é fraco no traseiro — pista concreta para investigação de instrumentação.</w:t>
      </w:r>
    </w:p>
    <w:p>
      <w:pPr>
        <w:pStyle w:val="ListBullet"/>
      </w:pPr>
      <w:r>
        <w:rPr>
          <w:b/>
        </w:rPr>
        <w:t>`Aftercooler Level - Active`: 74,4% de FN</w:t>
      </w:r>
      <w:r>
        <w:t xml:space="preserve"> (121 positivos) e </w:t>
      </w:r>
      <w:r>
        <w:rPr>
          <w:b/>
        </w:rPr>
        <w:t>`Engine Coolant Flow - Active`: 78,3%</w:t>
      </w:r>
      <w:r>
        <w:t xml:space="preserve"> (46): perdas de nível e fluxo podem ser abruptas (vazamento), sem rampa de eventos anterior. Já </w:t>
      </w:r>
      <w:r>
        <w:rPr>
          <w:rFonts w:ascii="Consolas" w:hAnsi="Consolas"/>
          <w:sz w:val="18"/>
        </w:rPr>
        <w:t>Transmission Oil Level - Active</w:t>
      </w:r>
      <w:r>
        <w:t>, o evento mais frequente do teste (586 positivos), tem 46,8% de FN — o modelo captura a maioria.</w:t>
      </w:r>
    </w:p>
    <w:p>
      <w:pPr>
        <w:pStyle w:val="ListBullet"/>
      </w:pPr>
      <w:r>
        <w:t>A frota 793-D 4S tem 26% de FN contra 50% da 5S — a 4S dispara mais "escada" de eventos nível 2 antes do alerta.</w:t>
      </w:r>
    </w:p>
    <w:p>
      <w:pPr>
        <w:jc w:val="both"/>
      </w:pPr>
      <w:r>
        <w:rPr>
          <w:b/>
        </w:rPr>
        <w:t>Degradação temporal (drift).</w:t>
      </w:r>
      <w:r>
        <w:t xml:space="preserve"> AUC-ROC por quinzena: mai 0,866 → 0,758; jun 0,863 → 0,876. AUC-PR: mai 0,293 → </w:t>
      </w:r>
      <w:r>
        <w:rPr>
          <w:b/>
        </w:rPr>
        <w:t>0,089</w:t>
      </w:r>
      <w:r>
        <w:t xml:space="preserve">; jun 0,245 → 0,337. A queda abrupta na 2ª quinzena de maio acompanha a queda de prevalência (3,85% → 2,51%) — foi exatamente esse comportamento que motivou o tuning em duas janelas (seção 3.4); em junho o desempenho se recupera e cresce ao longo do mês. Não há tendência monotônica de queda — o padrão é de </w:t>
      </w:r>
      <w:r>
        <w:rPr>
          <w:b/>
        </w:rPr>
        <w:t>sensibilidade a regime</w:t>
      </w:r>
      <w:r>
        <w:t xml:space="preserve"> (surtos vs. calmaria), não de concept drift acumulado, e a recomendação operacional é re-treino frequente (semanal) com monitoramento de prevalência.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443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z_confu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4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0B6E5D"/>
          <w:sz w:val="25"/>
        </w:rPr>
        <w:t>4.3 Interpretabilidade (CM 5.3)</w:t>
      </w:r>
    </w:p>
    <w:p>
      <w:pPr>
        <w:jc w:val="both"/>
      </w:pPr>
      <w:r>
        <w:t>O SHAP summary (Figura 11) valida o modelo contra a intuição operacional — as seis features mais importantes têm leitura física direta:</w:t>
      </w:r>
    </w:p>
    <w:p>
      <w:pPr>
        <w:pStyle w:val="ListNumber"/>
      </w:pPr>
      <w:r>
        <w:rPr>
          <w:b/>
        </w:rPr>
        <w:t>`h_desde_alerta_dg`</w:t>
      </w:r>
      <w:r>
        <w:t xml:space="preserve"> (impacto médio 0,027) — pouco tempo desde o último alerta → recorrência provável: a feature mais forte do modelo. Manutenção que não elimina a causa raiz devolve a máquina para a mesma fila.</w:t>
      </w:r>
    </w:p>
    <w:p>
      <w:pPr>
        <w:pStyle w:val="ListNumber"/>
      </w:pPr>
      <w:r>
        <w:rPr>
          <w:b/>
        </w:rPr>
        <w:t>`h_desde_crit1`</w:t>
      </w:r>
      <w:r>
        <w:t xml:space="preserve"> (0,020) — proximidade do último evento crítico, o degrau final da escada de severidade.</w:t>
      </w:r>
    </w:p>
    <w:p>
      <w:pPr>
        <w:pStyle w:val="ListNumber"/>
      </w:pPr>
      <w:r>
        <w:rPr>
          <w:b/>
        </w:rPr>
        <w:t>`n_dg_4h`</w:t>
      </w:r>
      <w:r>
        <w:t xml:space="preserve"> (0,019) e </w:t>
      </w:r>
      <w:r>
        <w:rPr>
          <w:b/>
        </w:rPr>
        <w:t>`n_dg_12h`</w:t>
      </w:r>
      <w:r>
        <w:t xml:space="preserve"> (0,013) — rajada de alarmes do catálogo em janela curta: a matéria-prima das regras.</w:t>
      </w:r>
    </w:p>
    <w:p>
      <w:pPr>
        <w:pStyle w:val="ListNumber"/>
      </w:pPr>
      <w:r>
        <w:rPr>
          <w:b/>
        </w:rPr>
        <w:t>`tag_taxa_alerta`</w:t>
      </w:r>
      <w:r>
        <w:t xml:space="preserve"> (0,013) e </w:t>
      </w:r>
      <w:r>
        <w:rPr>
          <w:b/>
        </w:rPr>
        <w:t>`op_taxa_alerta`</w:t>
      </w:r>
      <w:r>
        <w:t xml:space="preserve"> (0,008) — o "quem": equipamento cronicamente ofensor e operador com histórico elevado (H2 e H3 confirmadas dentro do modelo).</w:t>
      </w:r>
    </w:p>
    <w:p>
      <w:pPr>
        <w:jc w:val="both"/>
      </w:pPr>
      <w:r>
        <w:t xml:space="preserve">Nenhuma feature importante carece de explicação operacional — critério de validação de sentido atendido. O waterfall (Figura 12) decompõe a predição de maior score entre os verdadeiros positivos (CA65926 — justamente o equipamento mais ofensor do semestre —, 28/06/2025 03:00): </w:t>
      </w:r>
      <w:r>
        <w:rPr>
          <w:b/>
        </w:rPr>
        <w:t>77 alarmes do catálogo nas últimas 4 h</w:t>
      </w:r>
      <w:r>
        <w:t xml:space="preserve"> (236 em 12 h), </w:t>
      </w:r>
      <w:r>
        <w:rPr>
          <w:b/>
        </w:rPr>
        <w:t>alerta anterior há 3,4 h</w:t>
      </w:r>
      <w:r>
        <w:t xml:space="preserve"> e </w:t>
      </w:r>
      <w:r>
        <w:rPr>
          <w:b/>
        </w:rPr>
        <w:t>evento crítico há ~1 minuto</w:t>
      </w:r>
      <w:r>
        <w:t xml:space="preserve"> somam +0,38 em log-odds sobre a base E[f(X)] = −2,75, levando o equipamento ao topo do ranking do dia; ele disparou novo alerta dentro da janela de 4 h. É o caso de uso do painel: o cartão de inspeção viria com essas três evidências listadas.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66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hap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031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hap_waterfa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3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0B6E5D"/>
          <w:sz w:val="25"/>
        </w:rPr>
        <w:t>4.4 Abordagens complementares — sobrevivência e não supervisionada</w:t>
      </w:r>
    </w:p>
    <w:p>
      <w:pPr>
        <w:jc w:val="both"/>
      </w:pPr>
      <w:r>
        <w:t xml:space="preserve">O </w:t>
      </w:r>
      <w:r>
        <w:rPr>
          <w:b/>
        </w:rPr>
        <w:t>Weibull AFT</w:t>
      </w:r>
      <w:r>
        <w:t xml:space="preserve"> responde uma pergunta que o classificador não alcança: </w:t>
      </w:r>
      <w:r>
        <w:rPr>
          <w:i/>
        </w:rPr>
        <w:t>quanto tempo</w:t>
      </w:r>
      <w:r>
        <w:t xml:space="preserve"> até o próximo alerta. Com C-index de 0,781 no teste, o ranqueamento de tempos é sólido, e os </w:t>
      </w:r>
      <w:r>
        <w:rPr>
          <w:b/>
        </w:rPr>
        <w:t>fatores de aceleração</w:t>
      </w:r>
      <w:r>
        <w:t xml:space="preserve"> (razão de tempo por +1 desvio-padrão, todos com p &lt; 0,05) contam a mesma história física do SHAP por outro caminho: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Razão de tempo (por +1 dp)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Leitura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/>
                <w:sz w:val="16"/>
              </w:rPr>
              <w:t>tag_taxa_alerta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0,60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equipamento cronicamente ofensor encurta o tempo até o alerta em 40%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/>
                <w:sz w:val="16"/>
              </w:rPr>
              <w:t>horas_operadas_24h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0,79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uso intenso acelera a falha (exposição)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/>
                <w:sz w:val="16"/>
              </w:rPr>
              <w:t>op_taxa_alerta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0,82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o operador acelera ou adia o alerta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/>
                <w:sz w:val="16"/>
              </w:rPr>
              <w:t>n_dg_24h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0,85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rajada de alarmes do catálogo encurta o relógio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/>
                <w:sz w:val="16"/>
              </w:rPr>
              <w:t>h_desde_alerta_dg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1,86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quanto mais longe do último alerta, mais longo o tempo até o próximo (recorrência)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/>
                <w:sz w:val="16"/>
              </w:rPr>
              <w:t>h_desde_manutencao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1,67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 xml:space="preserve">máquina há muito sem intervenção </w:t>
            </w:r>
            <w:r>
              <w:rPr>
                <w:i/>
                <w:sz w:val="16"/>
              </w:rPr>
              <w:t>e ainda sem alarmes</w:t>
            </w:r>
            <w:r>
              <w:rPr>
                <w:sz w:val="16"/>
              </w:rPr>
              <w:t xml:space="preserve"> tende a seguir saudável</w:t>
            </w:r>
          </w:p>
        </w:tc>
      </w:tr>
    </w:tbl>
    <w:p/>
    <w:p>
      <w:pPr>
        <w:jc w:val="both"/>
      </w:pPr>
      <w:r>
        <w:t>Convergência entre formulações independentes — classificação (SHAP) e sobrevivência (AFT) — é o teste de robustez mais forte deste trabalho: o sinal de recorrência, rajada e "quem" (equipamento/operador) domina nos dois. Como risco em 4 h (1 − S(4|x)), o AFT alcança AUC-ROC 0,841/AUC-PR 0,266 — abaixo dos modelos de árvore (que capturam interações não lineares), mas acima da Regressão Logística e da heurística, entregando de brinde a estimativa de tempo que a manutenção usa para sequenciar a fila.</w:t>
      </w:r>
    </w:p>
    <w:p>
      <w:pPr>
        <w:jc w:val="both"/>
      </w:pPr>
      <w:r>
        <w:t xml:space="preserve">O </w:t>
      </w:r>
      <w:r>
        <w:rPr>
          <w:b/>
        </w:rPr>
        <w:t>Isolation Forest</w:t>
      </w:r>
      <w:r>
        <w:t xml:space="preserve">, sem nunca ver um rótulo, alcança AUC-ROC 0,560 e AUC-PR 0,174 no teste — acima do acaso (0,033 de prevalência), mas muito abaixo do supervisionado: nesta base, "estar anômalo" não é um bom preditor de don't go, em grande parte porque a frota L-1850 produz anomalias de volume de eventos (tempestades de telemetria) que não terminam em alerta. O detector permanece útil como </w:t>
      </w:r>
      <w:r>
        <w:rPr>
          <w:b/>
        </w:rPr>
        <w:t>cerca de segurança para modos de falha novos</w:t>
      </w:r>
      <w:r>
        <w:t xml:space="preserve"> que ainda não têm regra no catálogo, mas não substitui o modelo supervisionado.</w:t>
      </w:r>
    </w:p>
    <w:p>
      <w:pPr>
        <w:jc w:val="both"/>
      </w:pPr>
      <w:r>
        <w:t xml:space="preserve">O </w:t>
      </w:r>
      <w:r>
        <w:rPr>
          <w:b/>
        </w:rPr>
        <w:t>K-Means</w:t>
      </w:r>
      <w:r>
        <w:t xml:space="preserve"> (k=4) sobre agregados equipamento-dia encontrou uma partição com leitura operacional imediata: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6"/>
              </w:rPr>
              <w:t>Cluster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Dias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Eventos/24h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Nível 2/24h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Alarmes catálogo/24h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Quase-gatilhos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Horas operadas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Taxa de alerta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 xml:space="preserve">2 — </w:t>
            </w:r>
            <w:r>
              <w:rPr>
                <w:b/>
                <w:sz w:val="16"/>
              </w:rPr>
              <w:t>pré-falha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19 (0,2%)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3.582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981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439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19,7</w:t>
            </w:r>
          </w:p>
        </w:tc>
        <w:tc>
          <w:tcPr>
            <w:tcW w:type="dxa" w:w="1176"/>
          </w:tcPr>
          <w:p>
            <w:r>
              <w:rPr>
                <w:b/>
                <w:sz w:val="16"/>
              </w:rPr>
              <w:t>84%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 — operação plena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4.546 (45%)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9.455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4,9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4,2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20,3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24%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0 — dia parado/ocioso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2.714 (27%)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5,8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0,3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0,2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0,5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2%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 — tempestade de telemetria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1.334.184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282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19,4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0%</w:t>
            </w:r>
          </w:p>
        </w:tc>
      </w:tr>
    </w:tbl>
    <w:p/>
    <w:p>
      <w:pPr>
        <w:jc w:val="both"/>
      </w:pPr>
      <w:r>
        <w:t xml:space="preserve">O cluster 2 é raro (19 equipamento-dias) mas quase determinístico: 84% de chance de alerta — um "estado da máquina" exibível como semáforo no painel do despacho. O cluster 3 é um achado de qualidade de dados: dois dias em que um único equipamento emitiu </w:t>
      </w:r>
      <w:r>
        <w:rPr>
          <w:b/>
        </w:rPr>
        <w:t>mais de 1,3 milhão de eventos</w:t>
      </w:r>
      <w:r>
        <w:t xml:space="preserve"> em 24 h sem nenhum alerta — flooding do coletor, não degradação física.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4.5 Priorização da fila de inspeção</w:t>
      </w:r>
    </w:p>
    <w:p>
      <w:pPr>
        <w:jc w:val="both"/>
      </w:pPr>
      <w:r>
        <w:t>O score ordena a fila de manutenção: no último dia do teste (30/06), os cinco primeiros da fila (CA65926, CA65927, CA65909, CA65924, CA65935) concentravam os maiores riscos residuais da frota — quatro deles estão entre os dez maiores ofensores do semestre. Ao longo de junho, seguir a fila do modelo no ponto de captura teria colocado a equipe de inspeção na máquina certa antes do alerta em quase 7 de cada 10 disparos (taxa de antecipação de 68,6%).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4.6 Impacto de negócio e insights (CM 6.1)</w:t>
      </w:r>
    </w:p>
    <w:p>
      <w:pPr>
        <w:jc w:val="both"/>
      </w:pPr>
      <w:r>
        <w:rPr>
          <w:b/>
        </w:rPr>
        <w:t>Comparação com baseline.</w:t>
      </w:r>
      <w:r>
        <w:t xml:space="preserve"> No ranking, os modelos de árvore superam a heurística do despacho em </w:t>
      </w:r>
      <w:r>
        <w:rPr>
          <w:b/>
        </w:rPr>
        <w:t>+31% de AUC-PR</w:t>
      </w:r>
      <w:r>
        <w:t xml:space="preserve"> (RF 0,320 vs 0,245) e </w:t>
      </w:r>
      <w:r>
        <w:rPr>
          <w:b/>
        </w:rPr>
        <w:t>+16 pontos de AUC-ROC</w:t>
      </w:r>
      <w:r>
        <w:t xml:space="preserve"> (LightGBM 0,870 vs 0,750); sobre o Dummy, o lift de AUC-PR é 9×. No ponto de operação custo-ótimo, o contraste é direto: para cada 100 cartões de inspeção, a heurística acerta 15 e o modelo </w:t>
      </w:r>
      <w:r>
        <w:rPr>
          <w:b/>
        </w:rPr>
        <w:t>42</w:t>
      </w:r>
      <w:r>
        <w:t xml:space="preserve"> — quase o triplo de aproveitamento da equipe.</w:t>
      </w:r>
    </w:p>
    <w:p>
      <w:pPr>
        <w:jc w:val="both"/>
      </w:pPr>
      <w:r>
        <w:rPr>
          <w:b/>
        </w:rPr>
        <w:t>Dois pontos de operação, ambos escolhidos na validação e congelados antes do teste.</w:t>
      </w:r>
      <w:r>
        <w:t xml:space="preserve"> O limiar F2 maximiza captura sob custo assimétrico genérico; o limiar </w:t>
      </w:r>
      <w:r>
        <w:rPr>
          <w:b/>
        </w:rPr>
        <w:t>custo-ótimo</w:t>
      </w:r>
      <w:r>
        <w:t xml:space="preserve"> maximiza o benefício líquido estimado usando as premissas financeiras explícitas (custo de indisponibilidade R$ 6.000/h, inspeção R$ 450, 35% da duração da corretiva economizável, episódio médio de manutenção de 6,72 h reconstruído por encadeamento de ciclos):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6"/>
              </w:rPr>
              <w:t>Indicador (teste, jun/2025)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Ponto F2 (captura)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Ponto custo-ótimo (R$)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Limiar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0,062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0,074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Precisão / Recall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18,7% / 59,5%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41,9% / 31,2%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Alertas antecipados (de 229)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157 (</w:t>
            </w:r>
            <w:r>
              <w:rPr>
                <w:b/>
                <w:sz w:val="16"/>
              </w:rPr>
              <w:t>68,6%</w:t>
            </w:r>
            <w:r>
              <w:rPr>
                <w:sz w:val="16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103 (45,0%)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Antecedência mediana do 1º aviso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3,4 h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3,1 h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Cartões de inspeção no mês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5.725 (~191/dia)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1.340 (~45/dia)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Horas de parada evitáveis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369,0 h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242,1 h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Benefício bruto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R$ 2,21 mi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R$ 1,45 mi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Custo das inspeções vazias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R$ 2,09 mi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R$ 0,35 mi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6"/>
              </w:rPr>
              <w:t>Benefício líquido no mês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R$ 119 mil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R$ 1,10 mi</w:t>
            </w:r>
          </w:p>
        </w:tc>
      </w:tr>
    </w:tbl>
    <w:p/>
    <w:p>
      <w:pPr>
        <w:jc w:val="both"/>
      </w:pPr>
      <w:r>
        <w:t xml:space="preserve">A leitura é operacional: com equipe de inspeção folgada (ou inspeções acopladas ao abastecimento), o ponto F2 captura mais alertas e ainda se paga; com equipe restrita, o ponto custo-ótimo entrega </w:t>
      </w:r>
      <w:r>
        <w:rPr>
          <w:b/>
        </w:rPr>
        <w:t>R$ 1,10 milhão/mês líquidos</w:t>
      </w:r>
      <w:r>
        <w:t xml:space="preserve"> com um cartão por equipamento-dia. O painel pode expor os dois níveis como "atenção" (F2) e "inspecionar agora" (custo-ótimo) — o mesmo score, duas ações.</w:t>
      </w:r>
    </w:p>
    <w:p>
      <w:pPr>
        <w:jc w:val="both"/>
      </w:pPr>
      <w:r>
        <w:rPr>
          <w:b/>
        </w:rPr>
        <w:t>Aferição da métrica de sucesso (CM 1.2):</w:t>
      </w:r>
      <w:r>
        <w:t xml:space="preserve"> as duas metas não são atingíveis simultaneamente com esta base — o ponto F2 atinge a meta de antecipação (68,6% ≥ 60%) mas não a de precisão (18,7% &lt; 30%); o ponto custo-ótimo atinge a de precisão (41,9% ≥ 30%) mas não a de antecipação (45,0% &lt; 60%). Registra-se a meta como </w:t>
      </w:r>
      <w:r>
        <w:rPr>
          <w:b/>
        </w:rPr>
        <w:t>parcialmente atingida em cada ponto</w:t>
      </w:r>
      <w:r>
        <w:t>, com o trade-off completo quantificado em R$ para decisão do negócio — mais útil que um único número que esconderia a escolha.</w:t>
      </w:r>
    </w:p>
    <w:p>
      <w:pPr>
        <w:jc w:val="both"/>
      </w:pPr>
      <w:r>
        <w:rPr>
          <w:b/>
        </w:rPr>
        <w:t>Insights não óbvios:</w:t>
      </w:r>
    </w:p>
    <w:p>
      <w:pPr>
        <w:pStyle w:val="ListNumber"/>
      </w:pPr>
      <w:r>
        <w:rPr>
          <w:b/>
        </w:rPr>
        <w:t>Volume de telemetria não é risco.</w:t>
      </w:r>
      <w:r>
        <w:t xml:space="preserve"> A frota L-1850 gera 91,2% dos 37 milhões de eventos (98,5% informacionais) e apenas 1,2% dos alertas — e é a única frota 100% imprevisível para o modelo. O caminho para ela é curadoria de eventos e sensorização dirigida, não mais dados brutos.</w:t>
      </w:r>
    </w:p>
    <w:p>
      <w:pPr>
        <w:pStyle w:val="ListNumber"/>
      </w:pPr>
      <w:r>
        <w:rPr>
          <w:b/>
        </w:rPr>
        <w:t>Recorrência é o padrão dominante.</w:t>
      </w:r>
      <w:r>
        <w:t xml:space="preserve"> As duas features mais fortes do SHAP são "tempo desde o último alerta/evento crítico": parte relevante dos don't go é a mesma causa raiz mal resolvida voltando — um indicador de qualidade de manutenção, não só de condição.</w:t>
      </w:r>
    </w:p>
    <w:p>
      <w:pPr>
        <w:pStyle w:val="ListNumber"/>
      </w:pPr>
      <w:r>
        <w:rPr>
          <w:b/>
        </w:rPr>
        <w:t>O operador importa.</w:t>
      </w:r>
      <w:r>
        <w:t xml:space="preserve"> Entre 124 operadores com ≥800 decisões, a taxa varia de 0% a 15,3% e </w:t>
      </w:r>
      <w:r>
        <w:rPr>
          <w:rFonts w:ascii="Consolas" w:hAnsi="Consolas"/>
          <w:sz w:val="18"/>
        </w:rPr>
        <w:t>op_taxa_alerta</w:t>
      </w:r>
      <w:r>
        <w:t xml:space="preserve"> está no top-6 do SHAP. Há um programa de treinamento escondido nesses dados.</w:t>
      </w:r>
    </w:p>
    <w:p>
      <w:pPr>
        <w:pStyle w:val="ListNumber"/>
      </w:pPr>
      <w:r>
        <w:rPr>
          <w:b/>
        </w:rPr>
        <w:t>O precursor depende do subsistema, não só do evento.</w:t>
      </w:r>
      <w:r>
        <w:t xml:space="preserve"> Temperatura de freio dianteiro direito: 94% de recall; freios traseiros: ~33%. Mesma física, instrumentação/dinâmica diferentes — mapa direto para priorizar melhorias de sensores.</w:t>
      </w:r>
    </w:p>
    <w:p>
      <w:pPr>
        <w:pStyle w:val="ListNumber"/>
      </w:pPr>
      <w:r>
        <w:rPr>
          <w:b/>
        </w:rPr>
        <w:t>A base fatia atividades em ciclos de 60 min.</w:t>
      </w:r>
      <w:r>
        <w:t xml:space="preserve"> Qualquer análise de duração (inclusive o próprio impacto financeiro) exige reconstrução de episódios — a duração média "por registro" de manutenção é 0,5 h; por episódio real, 6,7 h. Ignorar isso subestimaria o benefício em ~8×.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7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baseline_vs_model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0B6E5D"/>
          <w:sz w:val="30"/>
        </w:rPr>
        <w:t>5. Conclusão e Trabalhos Futuros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5.1 Resposta à pergunta analítica (CM 6.2)</w:t>
      </w:r>
    </w:p>
    <w:p>
      <w:pPr>
        <w:jc w:val="both"/>
      </w:pPr>
      <w:r>
        <w:rPr>
          <w:b/>
        </w:rPr>
        <w:t>"Quais equipamentos têm maior risco de gerar um alerta don't go nas próximas 4 horas?"</w:t>
      </w:r>
      <w:r>
        <w:t xml:space="preserve"> — a pergunta foi respondida com um pipeline reprodutível que, a cada fechamento de ciclo, ranqueia a frota por probabilidade de alerta: no teste cego (jun/2025), o ranking tem AUC-ROC 0,870 (RF: AUC-PR 0,320; 9× a prevalência) e opera em dois pontos escolhidos na validação — captura (68,6% dos alertas antecipados, mediana de 3,4 h de aviso) e custo-ótimo (precisão de 41,9% e benefício líquido de R$ 1,10 mi/mês). O modelo aprendeu mecanismos com respaldo físico (recorrência, rajadas de alarmes monitorados, efeito equipamento e operador), verificados por duas vias independentes — SHAP no classificador e fatores de aceleração no modelo de sobrevivência.</w:t>
      </w:r>
    </w:p>
    <w:p>
      <w:pPr>
        <w:jc w:val="both"/>
      </w:pPr>
      <w:r>
        <w:rPr>
          <w:b/>
        </w:rPr>
        <w:t>Limitações (honestas):</w:t>
      </w:r>
      <w:r>
        <w:t xml:space="preserve"> (i) seis meses de dados — a sazonalidade anual completa (estação chuvosa vs. seca) não está coberta; (ii) o rótulo deriva do catálogo CMA — regras erradas ou incompletas propagam para o target ("consecutivos" foi aproximado por janela, decisão documentada), e as regras de TENDÊNCIA/SISTEMA não têm eventos correspondentes nesta extração; (iii) o operador dos apontamentos foi </w:t>
      </w:r>
      <w:r>
        <w:rPr>
          <w:b/>
        </w:rPr>
        <w:t>derivado</w:t>
      </w:r>
      <w:r>
        <w:t xml:space="preserve"> da telemetria (tolerância de 6 h) — 18,6% dos ciclos ficaram sem operador, concentrados em 15 Tags sem telemetria, cujas decisões nunca podem ser positivas (viés estrutural documentado); (iv) telemetria agregada em eventos, sem as séries contínuas de sensores, que elevariam o teto de desempenho; (v) o campeão é um modelo deliberadamente compacto (3 árvores, mesmo com tuning em duas janelas) — o score resultante é granular (533 valores distintos no teste), suficiente para fila e limiares, mas não para probabilidades calibradas finas; (vi) premissas financeiras (R$ 6.000/h, 35% de economia) são estimativas de ordem de grandeza a calibrar com a área de planejamento — o limiar custo-ótimo herda essa incerteza; (vii) generalização para outras localidades exige re-treino — os padrões aprendidos são específicos desta frota e catálogo.</w:t>
      </w:r>
    </w:p>
    <w:p>
      <w:pPr>
        <w:pStyle w:val="Heading2"/>
      </w:pPr>
      <w:r>
        <w:rPr>
          <w:rFonts w:ascii="Arial" w:hAnsi="Arial"/>
          <w:color w:val="0B6E5D"/>
          <w:sz w:val="25"/>
        </w:rPr>
        <w:t>5.2 Trabalhos futuros (CM 6.3)</w:t>
      </w:r>
    </w:p>
    <w:p>
      <w:pPr>
        <w:pStyle w:val="ListNumber"/>
      </w:pPr>
      <w:r>
        <w:rPr>
          <w:b/>
        </w:rPr>
        <w:t>Novos dados:</w:t>
      </w:r>
      <w:r>
        <w:t xml:space="preserve"> integrar ordens de serviço do ERP de manutenção (causa raiz real, componente trocado, horímetro) para separar "alerta antecipável" de "manutenção mal executada" — o peso da recorrência no SHAP e no AFT sugere que parte do problema é de qualidade de intervenção; além de dados climáticos horários e séries contínuas de sensores via historiador (crucial para os eventos de nível sem rampa, como </w:t>
      </w:r>
      <w:r>
        <w:rPr>
          <w:rFonts w:ascii="Consolas" w:hAnsi="Consolas"/>
          <w:sz w:val="18"/>
        </w:rPr>
        <w:t>Aftercooler Level</w:t>
      </w:r>
      <w:r>
        <w:t>).</w:t>
      </w:r>
    </w:p>
    <w:p>
      <w:pPr>
        <w:pStyle w:val="ListNumber"/>
      </w:pPr>
      <w:r>
        <w:rPr>
          <w:b/>
        </w:rPr>
        <w:t>Novas features / formulação:</w:t>
      </w:r>
      <w:r>
        <w:t xml:space="preserve"> evoluir o Weibull AFT para </w:t>
      </w:r>
      <w:r>
        <w:rPr>
          <w:b/>
        </w:rPr>
        <w:t>sobrevivência por subsistema</w:t>
      </w:r>
      <w:r>
        <w:t xml:space="preserve"> (riscos competitivos: freio vs. nível vs. arrefecimento — qual falha vem primeiro?) e classificação multi-rótulo do tipo de alerta, entregando à manutenção o subsistema suspeito junto com o cartão; sensorização dirigida para os pontos cegos mapeados (freios traseiros, L-1850).</w:t>
      </w:r>
    </w:p>
    <w:p>
      <w:pPr>
        <w:pStyle w:val="ListNumber"/>
      </w:pPr>
      <w:r>
        <w:rPr>
          <w:b/>
        </w:rPr>
        <w:t>Abordagens alternativas:</w:t>
      </w:r>
      <w:r>
        <w:t xml:space="preserve"> aprendizado online (re-treino incremental semanal com monitoramento de prevalência e AUC-PR móvel — a rotina de degradação temporal da seção 4.2 já é o embrião, e a queda da 2ª quinzena de maio mostra por que é necessária) e calibração de probabilidades (isotônica) sobre o score granular, refinando o limiar custo-ótimo já implementado.</w:t>
      </w:r>
    </w:p>
    <w:p>
      <w:pPr>
        <w:pStyle w:val="ListNumber"/>
      </w:pPr>
      <w:r>
        <w:rPr>
          <w:b/>
        </w:rPr>
        <w:t>Integração operacional:</w:t>
      </w:r>
      <w:r>
        <w:t xml:space="preserve"> publicar o score via API no sistema de despacho com atualização por evento (a arquitetura de janelas ordenadas migra direto para streaming), cartões em dois níveis ("atenção"/"inspecionar agora", seção 4.6) com as evidências SHAP, semáforo do K-Means como camada de leitura rápida (o cluster pré-falha tem 84% de acerto), watchdog de flooding de telemetria (cluster 3), e ciclo de feedback do inspetor (achou/não achou problema) realimentando o treino — transformando cada falso positivo em rótulo novo.</w:t>
      </w:r>
    </w:p>
    <w:p>
      <w:pPr>
        <w:pStyle w:val="Heading1"/>
      </w:pPr>
      <w:r>
        <w:rPr>
          <w:rFonts w:ascii="Arial" w:hAnsi="Arial"/>
          <w:color w:val="0B6E5D"/>
          <w:sz w:val="30"/>
        </w:rPr>
        <w:t>Referências e Recursos</w:t>
      </w:r>
    </w:p>
    <w:p>
      <w:pPr>
        <w:pStyle w:val="ListBullet"/>
      </w:pPr>
      <w:r>
        <w:rPr>
          <w:rFonts w:ascii="Consolas" w:hAnsi="Consolas"/>
          <w:sz w:val="18"/>
        </w:rPr>
        <w:t>Alarmes - Regra de Negocio.xlsx</w:t>
      </w:r>
      <w:r>
        <w:t xml:space="preserve"> — catálogo de regras de negócio para alertas don't go (aba CMA).</w:t>
      </w:r>
    </w:p>
    <w:p>
      <w:pPr>
        <w:pStyle w:val="ListBullet"/>
      </w:pPr>
      <w:r>
        <w:rPr>
          <w:rFonts w:ascii="Consolas" w:hAnsi="Consolas"/>
          <w:sz w:val="18"/>
        </w:rPr>
        <w:t>Dicionario_Dados.xlsx</w:t>
      </w:r>
      <w:r>
        <w:t xml:space="preserve"> — dicionário das tabelas Apontamentos e Telemetria.</w:t>
      </w:r>
    </w:p>
    <w:p>
      <w:pPr>
        <w:pStyle w:val="ListBullet"/>
      </w:pPr>
      <w:r>
        <w:t>Estudo Guiado — Desafio: Análise Avançada de Dados, Programa Desenvolver, Edição 2026.</w:t>
      </w:r>
    </w:p>
    <w:p>
      <w:pPr>
        <w:pStyle w:val="ListBullet"/>
      </w:pPr>
      <w:r>
        <w:t>scikit-learn — https://scikit-learn.org</w:t>
      </w:r>
    </w:p>
    <w:p>
      <w:pPr>
        <w:pStyle w:val="ListBullet"/>
      </w:pPr>
      <w:r>
        <w:t>LightGBM — https://lightgbm.readthedocs.io</w:t>
      </w:r>
    </w:p>
    <w:p>
      <w:pPr>
        <w:pStyle w:val="ListBullet"/>
      </w:pPr>
      <w:r>
        <w:t>SHAP — https://shap.readthedocs.io</w:t>
      </w:r>
    </w:p>
    <w:p>
      <w:pPr>
        <w:pStyle w:val="ListBullet"/>
      </w:pPr>
      <w:r>
        <w:t>lifelines (análise de sobrevivência) — https://lifelines.readthedocs.io</w:t>
      </w:r>
    </w:p>
    <w:p>
      <w:pPr>
        <w:pStyle w:val="ListBullet"/>
      </w:pPr>
      <w:r>
        <w:t xml:space="preserve">Ke, G. et al. </w:t>
      </w:r>
      <w:r>
        <w:rPr>
          <w:i/>
        </w:rPr>
        <w:t>LightGBM: A Highly Efficient Gradient Boosting Decision Tree</w:t>
      </w:r>
      <w:r>
        <w:t>. NeurIPS, 2017.</w:t>
      </w:r>
    </w:p>
    <w:p>
      <w:pPr>
        <w:pStyle w:val="ListBullet"/>
      </w:pPr>
      <w:r>
        <w:t xml:space="preserve">Lundberg, S.; Lee, S.-I. </w:t>
      </w:r>
      <w:r>
        <w:rPr>
          <w:i/>
        </w:rPr>
        <w:t>A Unified Approach to Interpreting Model Predictions</w:t>
      </w:r>
      <w:r>
        <w:t>. NeurIPS, 2017.</w:t>
      </w:r>
    </w:p>
    <w:p>
      <w:pPr>
        <w:pStyle w:val="ListBullet"/>
      </w:pPr>
      <w:r>
        <w:t xml:space="preserve">Provost, F.; Fawcett, T. </w:t>
      </w:r>
      <w:r>
        <w:rPr>
          <w:i/>
        </w:rPr>
        <w:t>Data Science para Negócios</w:t>
      </w:r>
      <w:r>
        <w:t>. Alta Books, 2016.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