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rFonts w:ascii="Arial" w:hAnsi="Arial"/>
          <w:b/>
          <w:color w:val="0E6B5C"/>
          <w:sz w:val="26"/>
        </w:rPr>
        <w:t>PROGRAMA DESENVOLVER — Edição 2026</w:t>
      </w:r>
    </w:p>
    <w:p>
      <w:pPr>
        <w:pStyle w:val="BodyText"/>
        <w:spacing w:before="3200"/>
        <w:jc w:val="center"/>
      </w:pPr>
      <w:r>
        <w:rPr>
          <w:rFonts w:ascii="Arial" w:hAnsi="Arial"/>
          <w:b/>
          <w:color w:val="1A1A1A"/>
          <w:sz w:val="48"/>
        </w:rPr>
        <w:t>Relatório Final</w:t>
      </w:r>
    </w:p>
    <w:p>
      <w:pPr>
        <w:pStyle w:val="BodyText"/>
        <w:jc w:val="center"/>
      </w:pPr>
      <w:r>
        <w:rPr>
          <w:rFonts w:ascii="Arial" w:hAnsi="Arial"/>
          <w:b/>
          <w:color w:val="1A1A1A"/>
          <w:sz w:val="34"/>
        </w:rPr>
        <w:t>Desafio: Análise Avançada de Dados</w:t>
        <w:br/>
        <w:t>Antecipação de Alertas Críticos em Frotas de Mineração</w:t>
      </w:r>
    </w:p>
    <w:p>
      <w:r>
        <w:br w:type="page"/>
      </w:r>
    </w:p>
    <w:p>
      <w:pPr>
        <w:pStyle w:val="BodyText"/>
        <w:spacing w:before="4400"/>
        <w:jc w:val="center"/>
      </w:pPr>
      <w:r>
        <w:rPr>
          <w:rFonts w:ascii="Arial" w:hAnsi="Arial"/>
          <w:b/>
          <w:color w:val="1A1A1A"/>
          <w:sz w:val="28"/>
        </w:rPr>
        <w:t>João Pedro</w:t>
      </w:r>
    </w:p>
    <w:p>
      <w:pPr>
        <w:pStyle w:val="BodyText"/>
        <w:jc w:val="center"/>
      </w:pPr>
      <w:r>
        <w:rPr>
          <w:rFonts w:ascii="Arial" w:hAnsi="Arial"/>
          <w:b w:val="0"/>
          <w:color w:val="1A1A1A"/>
          <w:sz w:val="24"/>
        </w:rPr>
        <w:t>Programa Desenvolver — Vale</w:t>
      </w:r>
    </w:p>
    <w:p>
      <w:pPr>
        <w:pStyle w:val="BodyText"/>
        <w:jc w:val="center"/>
      </w:pPr>
      <w:r>
        <w:rPr>
          <w:rFonts w:ascii="Arial" w:hAnsi="Arial"/>
          <w:b w:val="0"/>
          <w:color w:val="1A1A1A"/>
          <w:sz w:val="24"/>
        </w:rPr>
        <w:t>pedrojoaao4@gmail.com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Resumo.</w:t>
      </w:r>
      <w:r>
        <w:t xml:space="preserve"> </w:t>
      </w:r>
      <w:r>
        <w:t xml:space="preserve">Este trabalho aborda a antecipação de alertas críticos de condição (</w:t>
      </w:r>
      <w:r>
        <w:t xml:space="preserve">“don’t go”</w:t>
      </w:r>
      <w:r>
        <w:t xml:space="preserve">) em uma frota de 50 equipamentos de mina do corredor Sul/Sudeste — caminhões fora de estrada CAT 793-D/793-F/789-C e Komatsu 930-E, carregadeiras LeTourneau L-1850 e escavadeiras PC5500 — a partir de duas fontes: os apontamentos de ciclo operacional (296.946 registros) e a telemetria embarcada (323.374 eventos), cobrindo seis meses de operação (set/2025 a fev/2026). O catálogo de regras de negócio (Alarmes - SUL_SUDESTE.xlsx, 151 regras TIPO + EVENTO + SITUACAO + QTD + TEMPO + NIVEL) foi convertido em um motor de regras em Python que rotulou 1.409 alertas don’t go no período. O problema foi formulado como classificação binária: prever, ao fim de cada ciclo de apontamento, se o equipamento disparará um alerta don’t go nas 4 horas seguintes — janela definida pelo tempo necessário para o despacho retirar o equipamento de rota e a manutenção preparar box, peças e equipe. Após limpeza com controle de alterações (5.284 registros corrigidos ou excluídos, todos documentados), foram construídas 56 features de janelas retroativas (contagens de eventos por criticidade em 4/12/24/72 h,</w:t>
      </w:r>
      <w:r>
        <w:t xml:space="preserve"> </w:t>
      </w:r>
      <w:r>
        <w:t xml:space="preserve">“quase-gatilhos”</w:t>
      </w:r>
      <w:r>
        <w:t xml:space="preserve"> </w:t>
      </w:r>
      <w:r>
        <w:t xml:space="preserve">das regras, tempos desde o último evento crítico, utilização, encodings de frota, operador e equipamento), gerando uma tabela analítica com 293.461 pontos de decisão e prevalência de 2,36%. A validação foi estritamente temporal (treino set–dez/2025; validação jan/2026 para tuning e limiar; teste fev/2026 tocado uma única vez). Quatro modelos supervisionados foram comparados contra dois baselines, além de uma abordagem não supervisionada (Isolation Forest e K-Means). O LightGBM venceu com AUC-ROC 0,871 e AUC-PR 0,398 no teste — 66% acima do AUC-PR da heurística de despacho (0,239) e 19 vezes a prevalência —, entregando recall de 60,1% e precisão de 35,0% no limiar operacional (F2). Em termos de negócio: 70,7% dos 188 alertas de fevereiro foram antecipados com mediana de 3,4 h de antecedência, o equivalente a ~314 h de parada não planejada evitável e benefício líquido estimado de R$ 1,40 milhão no mês. A análise SHAP confirmou que o modelo aprendeu a física do problema (repetição de alarmes monitorados em janelas curtas domina o risco), e a análise de erros revelou um achado central: as falhas 100% não antecipadas são de comunicação (Minecare/MEMS) e de sensor errático — eventos sem precursor físico, que exigem tratamento por monitoramento de infraestrutura, não por modelo preditivo.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manutenção preditiva; telemetria industrial; alertas don’t go; LightGBM; validação temporal; SHAP; mineração.</w:t>
      </w:r>
    </w:p>
    <w:p>
      <w:r>
        <w:pict>
          <v:rect style="width:0;height:1.5pt" o:hralign="center" o:hrstd="t" o:hr="t"/>
        </w:pict>
      </w:r>
    </w:p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Uma mina de grande porte opera como um sistema de fluxo contínuo: escavadeiras e carregadeiras alimentam caminhões fora de estrada que ciclam entre frentes de lavra, britadores e pilhas. Cada equipamento gera dois rastros digitais permanentes. O primeiro é o</w:t>
      </w:r>
      <w:r>
        <w:t xml:space="preserve"> </w:t>
      </w:r>
      <w:r>
        <w:rPr>
          <w:b/>
          <w:bCs/>
        </w:rPr>
        <w:t xml:space="preserve">apontamento</w:t>
      </w:r>
      <w:r>
        <w:t xml:space="preserve">: o sistema de despacho registra cada ciclo de atividade com início, fim, equipamento (Tag), frota, tipo, classe da atividade e operador (anonimizado por hash). O segundo é a</w:t>
      </w:r>
      <w:r>
        <w:t xml:space="preserve"> </w:t>
      </w:r>
      <w:r>
        <w:rPr>
          <w:b/>
          <w:bCs/>
        </w:rPr>
        <w:t xml:space="preserve">telemetria embarcada</w:t>
      </w:r>
      <w:r>
        <w:t xml:space="preserve">: os módulos OEM (VIMS/MEMS nos CAT, Interface/PLM nos Komatsu e LeTourneau) emitem eventos de condição — nível de fluido, temperatura de freio, pressão de óleo — classificados em níveis de severidade, além de tendências calculadas pela engenharia de confiabilidade e eventos de sistema.</w:t>
      </w:r>
    </w:p>
    <w:p>
      <w:pPr>
        <w:pStyle w:val="BodyText"/>
      </w:pPr>
      <w:r>
        <w:t xml:space="preserve">Sobre esse fluxo de eventos, a área de Confiabilidade (CMA) mantém um catálogo de</w:t>
      </w:r>
      <w:r>
        <w:t xml:space="preserve"> </w:t>
      </w:r>
      <w:r>
        <w:rPr>
          <w:b/>
          <w:bCs/>
        </w:rPr>
        <w:t xml:space="preserve">regras don’t go</w:t>
      </w:r>
      <w:r>
        <w:t xml:space="preserve">: combinações de evento, situação, quantidade e janela de tempo que, quando satisfeitas, determinam que o equipamento</w:t>
      </w:r>
      <w:r>
        <w:t xml:space="preserve"> </w:t>
      </w:r>
      <w:r>
        <w:rPr>
          <w:b/>
          <w:bCs/>
        </w:rPr>
        <w:t xml:space="preserve">não deve continuar operando</w:t>
      </w:r>
      <w:r>
        <w:t xml:space="preserve">. O disparo de um don’t go é, hoje, reativo: quando a regra fecha, a máquina já precisa sair de rota — muitas vezes carregada, em rampa, no meio do turno — e a manutenção recebe o problema sem aviso.</w:t>
      </w:r>
    </w:p>
    <w:p>
      <w:pPr>
        <w:pStyle w:val="BodyText"/>
      </w:pPr>
      <w:r>
        <w:t xml:space="preserve">O objetivo central deste trabalho é transformar esse fluxo reativo em</w:t>
      </w:r>
      <w:r>
        <w:t xml:space="preserve"> </w:t>
      </w:r>
      <w:r>
        <w:rPr>
          <w:b/>
          <w:bCs/>
        </w:rPr>
        <w:t xml:space="preserve">antecipação</w:t>
      </w:r>
      <w:r>
        <w:t xml:space="preserve">: construir um pipeline de dados completo (ETL, rotulagem via regras de negócio, engenharia de features, modelagem e avaliação) capaz de estimar, a cada ciclo encerrado, a probabilidade de cada equipamento disparar um alerta don’t go nas 4 horas seguintes, e de traduzir essa probabilidade em uma fila priorizada de inspeção. A tomada de decisão baseada em dados aqui não é abstrata: cada hora de caminhão de 240 t parado fora de plano é produção não realizada, e cada alerta antecipado converte uma quebra em intervenção planejada.</w:t>
      </w:r>
    </w:p>
    <w:bookmarkEnd w:id="9"/>
    <w:bookmarkStart w:id="15" w:name="entendimento-do-negócio"/>
    <w:p>
      <w:pPr>
        <w:pStyle w:val="Heading1"/>
      </w:pPr>
      <w:r>
        <w:t xml:space="preserve">2. Entendimento do Negócio</w:t>
      </w:r>
    </w:p>
    <w:bookmarkStart w:id="13" w:name="contextualização-da-operação-cm-1.1"/>
    <w:p>
      <w:pPr>
        <w:pStyle w:val="Heading2"/>
      </w:pPr>
      <w:r>
        <w:t xml:space="preserve">2.1 Contextualização da operação (CM 1.1)</w:t>
      </w:r>
    </w:p>
    <w:p>
      <w:pPr>
        <w:pStyle w:val="FirstParagraph"/>
      </w:pPr>
      <w:r>
        <w:rPr>
          <w:b/>
          <w:bCs/>
        </w:rPr>
        <w:t xml:space="preserve">Fluxo operacional.</w:t>
      </w:r>
      <w:r>
        <w:t xml:space="preserve"> </w:t>
      </w:r>
      <w:r>
        <w:t xml:space="preserve">Cada registro da tabela</w:t>
      </w:r>
      <w:r>
        <w:t xml:space="preserve"> </w:t>
      </w:r>
      <w:r>
        <w:rPr>
          <w:rStyle w:val="VerbatimChar"/>
        </w:rPr>
        <w:t xml:space="preserve">Apontamentos</w:t>
      </w:r>
      <w:r>
        <w:t xml:space="preserve"> </w:t>
      </w:r>
      <w:r>
        <w:t xml:space="preserve">representa um ciclo de atividade de um equipamento, delimitado por</w:t>
      </w:r>
      <w:r>
        <w:t xml:space="preserve"> </w:t>
      </w:r>
      <w:r>
        <w:rPr>
          <w:rStyle w:val="VerbatimChar"/>
        </w:rPr>
        <w:t xml:space="preserve">Inicio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Fim</w:t>
      </w:r>
      <w:r>
        <w:t xml:space="preserve">, com a identificação do equipamento (</w:t>
      </w:r>
      <w:r>
        <w:rPr>
          <w:rStyle w:val="VerbatimChar"/>
        </w:rPr>
        <w:t xml:space="preserve">Tag</w:t>
      </w:r>
      <w:r>
        <w:t xml:space="preserve">), o modelo/frota (</w:t>
      </w:r>
      <w:r>
        <w:rPr>
          <w:rStyle w:val="VerbatimChar"/>
        </w:rPr>
        <w:t xml:space="preserve">Frota</w:t>
      </w:r>
      <w:r>
        <w:t xml:space="preserve">, ex.: 793-D 5S, LeTourneau L 1850), o tipo (</w:t>
      </w:r>
      <w:r>
        <w:rPr>
          <w:rStyle w:val="VerbatimChar"/>
        </w:rPr>
        <w:t xml:space="preserve">Tipo</w:t>
      </w:r>
      <w:r>
        <w:t xml:space="preserve">: Caminhao, Carregadeira, Escavadeira), a classificação da atividade (</w:t>
      </w:r>
      <w:r>
        <w:rPr>
          <w:rStyle w:val="VerbatimChar"/>
        </w:rPr>
        <w:t xml:space="preserve">Classe</w:t>
      </w:r>
      <w:r>
        <w:t xml:space="preserve">: Operação, Atraso Operacional, Ociosidade, Abastecimento, Infraestrutura, Manutenção Preventiva/Corretiva) e o operador anonimizado (</w:t>
      </w:r>
      <w:r>
        <w:rPr>
          <w:rStyle w:val="VerbatimChar"/>
        </w:rPr>
        <w:t xml:space="preserve">Nome_Operador_Anon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Matricula_Operador_Hash</w:t>
      </w:r>
      <w:r>
        <w:t xml:space="preserve">). A base analisada cobre</w:t>
      </w:r>
      <w:r>
        <w:t xml:space="preserve"> </w:t>
      </w:r>
      <w:r>
        <w:rPr>
          <w:b/>
          <w:bCs/>
        </w:rPr>
        <w:t xml:space="preserve">50 equipamentos</w:t>
      </w:r>
      <w:r>
        <w:t xml:space="preserve"> </w:t>
      </w:r>
      <w:r>
        <w:t xml:space="preserve">em duas localidades (Mina Conceição e Mina Cauê), operando em três turnos de 8 h (A: 07–15 h, B: 15–23 h, C: 23–07 h), com 133 operadores distintos.</w:t>
      </w:r>
    </w:p>
    <w:p>
      <w:pPr>
        <w:pStyle w:val="BodyText"/>
      </w:pPr>
      <w:r>
        <w:t xml:space="preserve">A tabela</w:t>
      </w:r>
      <w:r>
        <w:t xml:space="preserve"> </w:t>
      </w:r>
      <w:r>
        <w:rPr>
          <w:rStyle w:val="VerbatimChar"/>
        </w:rPr>
        <w:t xml:space="preserve">Telemetria</w:t>
      </w:r>
      <w:r>
        <w:t xml:space="preserve"> </w:t>
      </w:r>
      <w:r>
        <w:t xml:space="preserve">registra os eventos emitidos pelos módulos embarcados:</w:t>
      </w:r>
      <w:r>
        <w:t xml:space="preserve"> </w:t>
      </w:r>
      <w:r>
        <w:rPr>
          <w:rStyle w:val="VerbatimChar"/>
        </w:rPr>
        <w:t xml:space="preserve">Data_Evento</w:t>
      </w:r>
      <w:r>
        <w:t xml:space="preserve">, turno, localidade, equipamento, alarme (</w:t>
      </w:r>
      <w:r>
        <w:rPr>
          <w:rStyle w:val="VerbatimChar"/>
        </w:rPr>
        <w:t xml:space="preserve">Id_Alarme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Alarme</w:t>
      </w:r>
      <w:r>
        <w:t xml:space="preserve">), criticidade (</w:t>
      </w:r>
      <w:r>
        <w:rPr>
          <w:rStyle w:val="VerbatimChar"/>
        </w:rPr>
        <w:t xml:space="preserve">Id_Criticidade</w:t>
      </w:r>
      <w:r>
        <w:t xml:space="preserve">: 1=Crítico, 2=Não Crítico, 3=Informacional, 4=Outros), valor lido pelo sensor (</w:t>
      </w:r>
      <w:r>
        <w:rPr>
          <w:rStyle w:val="VerbatimChar"/>
        </w:rPr>
        <w:t xml:space="preserve">Valor</w:t>
      </w:r>
      <w:r>
        <w:t xml:space="preserve">), estado (</w:t>
      </w:r>
      <w:r>
        <w:rPr>
          <w:rStyle w:val="VerbatimChar"/>
        </w:rPr>
        <w:t xml:space="preserve">Classe</w:t>
      </w:r>
      <w:r>
        <w:t xml:space="preserve">: Activate/Inactive) e a flag</w:t>
      </w:r>
      <w:r>
        <w:t xml:space="preserve"> </w:t>
      </w:r>
      <w:r>
        <w:rPr>
          <w:rStyle w:val="VerbatimChar"/>
        </w:rPr>
        <w:t xml:space="preserve">Is_Dont_Go</w:t>
      </w:r>
      <w:r>
        <w:t xml:space="preserve"> </w:t>
      </w:r>
      <w:r>
        <w:t xml:space="preserve">indicando se o nome do alarme consta na lista don’t go.</w:t>
      </w:r>
    </w:p>
    <w:p>
      <w:pPr>
        <w:pStyle w:val="BodyText"/>
      </w:pPr>
      <w:r>
        <w:rPr>
          <w:b/>
          <w:bCs/>
        </w:rPr>
        <w:t xml:space="preserve">Alertas don’t go.</w:t>
      </w:r>
      <w:r>
        <w:t xml:space="preserve"> </w:t>
      </w:r>
      <w:r>
        <w:t xml:space="preserve">Um alerta don’t go sinaliza condição na qual o equipamento</w:t>
      </w:r>
      <w:r>
        <w:t xml:space="preserve"> </w:t>
      </w:r>
      <w:r>
        <w:rPr>
          <w:b/>
          <w:bCs/>
        </w:rPr>
        <w:t xml:space="preserve">não deve operar</w:t>
      </w:r>
      <w:r>
        <w:t xml:space="preserve">. O impacto é triplo: (i)</w:t>
      </w:r>
      <w:r>
        <w:t xml:space="preserve"> </w:t>
      </w:r>
      <w:r>
        <w:rPr>
          <w:b/>
          <w:bCs/>
        </w:rPr>
        <w:t xml:space="preserve">segurança</w:t>
      </w:r>
      <w:r>
        <w:t xml:space="preserve"> </w:t>
      </w:r>
      <w:r>
        <w:t xml:space="preserve">— um caminhão com temperatura de freio crítica descendo rampa carregado é um risco inaceitável; (ii)</w:t>
      </w:r>
      <w:r>
        <w:t xml:space="preserve"> </w:t>
      </w:r>
      <w:r>
        <w:rPr>
          <w:b/>
          <w:bCs/>
        </w:rPr>
        <w:t xml:space="preserve">disponibilidade</w:t>
      </w:r>
      <w:r>
        <w:t xml:space="preserve"> </w:t>
      </w:r>
      <w:r>
        <w:t xml:space="preserve">— a máquina sai do plano de produção sem aviso; (iii)</w:t>
      </w:r>
      <w:r>
        <w:t xml:space="preserve"> </w:t>
      </w:r>
      <w:r>
        <w:rPr>
          <w:b/>
          <w:bCs/>
        </w:rPr>
        <w:t xml:space="preserve">custo do ativo</w:t>
      </w:r>
      <w:r>
        <w:t xml:space="preserve"> </w:t>
      </w:r>
      <w:r>
        <w:t xml:space="preserve">— operar sob alarme de pressão de óleo do motor transforma uma intervenção de horas em uma troca de componente de semanas.</w:t>
      </w:r>
    </w:p>
    <w:p>
      <w:pPr>
        <w:pStyle w:val="BodyText"/>
      </w:pPr>
      <w:r>
        <w:rPr>
          <w:b/>
          <w:bCs/>
        </w:rPr>
        <w:t xml:space="preserve">Regras de negócio.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Alarmes - SUL_SUDESTE.xlsx</w:t>
      </w:r>
      <w:r>
        <w:t xml:space="preserve"> </w:t>
      </w:r>
      <w:r>
        <w:t xml:space="preserve">(aba CMA) é o catálogo que define quando um alerta dispara:</w:t>
      </w:r>
      <w:r>
        <w:t xml:space="preserve"> </w:t>
      </w:r>
      <w:r>
        <w:rPr>
          <w:b/>
          <w:bCs/>
        </w:rPr>
        <w:t xml:space="preserve">151 regras</w:t>
      </w:r>
      <w:r>
        <w:t xml:space="preserve">, cada uma combinando TIPO (142 ALARME OEM, 7 TENDÊNCIA, 2 SISTEMA), EVENTO (nome do alarme), SITUACAO (condição de disparo, ex.:</w:t>
      </w:r>
      <w:r>
        <w:t xml:space="preserve"> </w:t>
      </w:r>
      <w:r>
        <w:t xml:space="preserve">“Mediante alarme nível 3”</w:t>
      </w:r>
      <w:r>
        <w:t xml:space="preserve">,</w:t>
      </w:r>
      <w:r>
        <w:t xml:space="preserve"> </w:t>
      </w:r>
      <w:r>
        <w:t xml:space="preserve">“Mediante cinco alarmes nivel 2 consecutivos”</w:t>
      </w:r>
      <w:r>
        <w:t xml:space="preserve">,</w:t>
      </w:r>
      <w:r>
        <w:t xml:space="preserve"> </w:t>
      </w:r>
      <w:r>
        <w:t xml:space="preserve">“Em qualquer situação”</w:t>
      </w:r>
      <w:r>
        <w:t xml:space="preserve">), QTD (1 a 10 ocorrências), TEMPO (janela de 0, 360 ou 720 minutos) e NIVEL (Muito Alto ou Alto). O arquivo é equivalente a regras codificadas — e foi exatamente assim que este trabalho o tratou, convertendo-o em um motor de regras em Python (seção 3.3).</w:t>
      </w:r>
    </w:p>
    <w:p>
      <w:pPr>
        <w:pStyle w:val="BodyText"/>
      </w:pPr>
      <w:r>
        <w:t xml:space="preserve">Exemplos de eventos de NIVEL</w:t>
      </w:r>
      <w:r>
        <w:t xml:space="preserve"> </w:t>
      </w:r>
      <w:r>
        <w:rPr>
          <w:b/>
          <w:bCs/>
        </w:rPr>
        <w:t xml:space="preserve">Muito Alto</w:t>
      </w:r>
      <w:r>
        <w:t xml:space="preserve"> </w:t>
      </w:r>
      <w:r>
        <w:t xml:space="preserve">(criticidade máxima):</w:t>
      </w:r>
      <w:r>
        <w:t xml:space="preserve"> </w:t>
      </w:r>
      <w:r>
        <w:rPr>
          <w:rStyle w:val="VerbatimChar"/>
        </w:rPr>
        <w:t xml:space="preserve">Low Transmission Oil Level</w:t>
      </w:r>
      <w:r>
        <w:t xml:space="preserve"> </w:t>
      </w:r>
      <w:r>
        <w:t xml:space="preserve">(mediante alarme nível 3),</w:t>
      </w:r>
      <w:r>
        <w:t xml:space="preserve"> </w:t>
      </w:r>
      <w:r>
        <w:rPr>
          <w:rStyle w:val="VerbatimChar"/>
        </w:rPr>
        <w:t xml:space="preserve">Engine Coolant Level -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Very Low Hydraulic Oil 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 Overheat/Engine Coolant or Water Overheat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Low Engine Oil Pressure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 Engine Coolant Temperature</w:t>
      </w:r>
      <w:r>
        <w:t xml:space="preserve">, temperaturas de freio (</w:t>
      </w:r>
      <w:r>
        <w:rPr>
          <w:rStyle w:val="VerbatimChar"/>
        </w:rPr>
        <w:t xml:space="preserve">High Left/Right Front/Rear Brake Oil Temperature</w:t>
      </w:r>
      <w:r>
        <w:t xml:space="preserve">),</w:t>
      </w:r>
      <w:r>
        <w:t xml:space="preserve"> </w:t>
      </w:r>
      <w:r>
        <w:rPr>
          <w:rStyle w:val="VerbatimChar"/>
        </w:rPr>
        <w:t xml:space="preserve">[036.03]/[036.04] Grid blower fault</w:t>
      </w:r>
      <w:r>
        <w:t xml:space="preserve"> </w:t>
      </w:r>
      <w:r>
        <w:t xml:space="preserve">(930-E),</w:t>
      </w:r>
      <w:r>
        <w:t xml:space="preserve"> </w:t>
      </w:r>
      <w:r>
        <w:rPr>
          <w:rStyle w:val="VerbatimChar"/>
        </w:rPr>
        <w:t xml:space="preserve">Hydraulic Reservoir Oil Temperature Critically High (L-1850)</w:t>
      </w:r>
      <w:r>
        <w:t xml:space="preserve">,</w:t>
      </w:r>
      <w:r>
        <w:t xml:space="preserve"> </w:t>
      </w:r>
      <w:r>
        <w:rPr>
          <w:rStyle w:val="VerbatimChar"/>
        </w:rPr>
        <w:t xml:space="preserve">HPD Gearbox Oil Pressure Critically Low</w:t>
      </w:r>
      <w:r>
        <w:t xml:space="preserve">, as tendências</w:t>
      </w:r>
      <w:r>
        <w:t xml:space="preserve"> </w:t>
      </w:r>
      <w:r>
        <w:rPr>
          <w:rStyle w:val="VerbatimChar"/>
        </w:rPr>
        <w:t xml:space="preserve">MC - Tendência baixa pressão do óleo motor &lt;250/200/150KPA</w:t>
      </w:r>
      <w:r>
        <w:t xml:space="preserve"> </w:t>
      </w:r>
      <w:r>
        <w:t xml:space="preserve">e a regra de sistema</w:t>
      </w:r>
      <w:r>
        <w:t xml:space="preserve"> </w:t>
      </w:r>
      <w:r>
        <w:rPr>
          <w:rStyle w:val="VerbatimChar"/>
        </w:rPr>
        <w:t xml:space="preserve">MEMS não comunica</w:t>
      </w:r>
      <w:r>
        <w:t xml:space="preserve">.</w:t>
      </w:r>
    </w:p>
    <w:p>
      <w:pPr>
        <w:pStyle w:val="CaptionedFigure"/>
        <w:jc w:val="center"/>
      </w:pPr>
      <w:r>
        <w:drawing>
          <wp:inline>
            <wp:extent cx="5334000" cy="1954233"/>
            <wp:effectExtent b="0" l="0" r="0" t="0"/>
            <wp:docPr descr="Figura 1" title="" id="11" name="Picture"/>
            <a:graphic>
              <a:graphicData uri="http://schemas.openxmlformats.org/drawingml/2006/picture">
                <pic:pic>
                  <pic:nvPicPr>
                    <pic:cNvPr descr="figuras/fig01_fluxo_operacion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</w:t>
      </w:r>
    </w:p>
    <w:bookmarkEnd w:id="13"/>
    <w:bookmarkStart w:id="14" w:name="definição-do-problema-analítico-cm-1.2"/>
    <w:p>
      <w:pPr>
        <w:pStyle w:val="Heading2"/>
      </w:pPr>
      <w:r>
        <w:t xml:space="preserve">2.2 Definição do problema analítico (CM 1.2)</w:t>
      </w:r>
    </w:p>
    <w:p>
      <w:pPr>
        <w:pStyle w:val="FirstParagraph"/>
      </w:pPr>
      <w:r>
        <w:rPr>
          <w:b/>
          <w:bCs/>
        </w:rPr>
        <w:t xml:space="preserve">Pergunta principal:</w:t>
      </w:r>
    </w:p>
    <w:p>
      <w:pPr>
        <w:pStyle w:val="BlockText"/>
      </w:pPr>
      <w:r>
        <w:rPr>
          <w:b/>
          <w:bCs/>
        </w:rPr>
        <w:t xml:space="preserve">Quais equipamentos têm maior risco de gerar um alerta don’t go nas próximas 4 horas, considerando o padrão atual de operação?</w:t>
      </w:r>
    </w:p>
    <w:p>
      <w:pPr>
        <w:pStyle w:val="FirstParagraph"/>
      </w:pPr>
      <w:r>
        <w:t xml:space="preserve">Perguntas secundárias respondidas ao longo do trabalho:</w:t>
      </w:r>
    </w:p>
    <w:p>
      <w:pPr>
        <w:pStyle w:val="Compact"/>
        <w:numPr>
          <w:ilvl w:val="0"/>
          <w:numId w:val="1001"/>
        </w:numPr>
      </w:pPr>
      <w:r>
        <w:t xml:space="preserve">O comportamento do operador (anonimizado) tem correlação com a frequência de alertas em um mesmo equipamento? (seções 3.2 e 4.6)</w:t>
      </w:r>
    </w:p>
    <w:p>
      <w:pPr>
        <w:pStyle w:val="Compact"/>
        <w:numPr>
          <w:ilvl w:val="0"/>
          <w:numId w:val="1001"/>
        </w:numPr>
      </w:pPr>
      <w:r>
        <w:t xml:space="preserve">Qual é o perfil dos equipamentos que geram mais alertas don’t go — frota, tipo e horas trabalhadas? (seções 3.2 e 4.6)</w:t>
      </w:r>
    </w:p>
    <w:p>
      <w:pPr>
        <w:pStyle w:val="Compact"/>
        <w:numPr>
          <w:ilvl w:val="0"/>
          <w:numId w:val="1001"/>
        </w:numPr>
      </w:pPr>
      <w:r>
        <w:t xml:space="preserve">Alertas críticos se concentram em determinados turnos, dias da semana ou períodos do mês? (seção 3.2)</w:t>
      </w:r>
    </w:p>
    <w:p>
      <w:pPr>
        <w:pStyle w:val="Compact"/>
        <w:numPr>
          <w:ilvl w:val="0"/>
          <w:numId w:val="1001"/>
        </w:numPr>
      </w:pPr>
      <w:r>
        <w:t xml:space="preserve">Como priorizar a fila de inspeção da manutenção com base no score de risco? (seção 4.5)</w:t>
      </w:r>
    </w:p>
    <w:p>
      <w:pPr>
        <w:pStyle w:val="FirstParagraph"/>
      </w:pPr>
      <w:r>
        <w:rPr>
          <w:b/>
          <w:bCs/>
        </w:rPr>
        <w:t xml:space="preserve">Métrica de sucesso do negócio.</w:t>
      </w:r>
      <w:r>
        <w:t xml:space="preserve"> </w:t>
      </w:r>
      <w:r>
        <w:t xml:space="preserve">O problema é considerado</w:t>
      </w:r>
      <w:r>
        <w:t xml:space="preserve"> </w:t>
      </w:r>
      <w:r>
        <w:t xml:space="preserve">“resolvido”</w:t>
      </w:r>
      <w:r>
        <w:t xml:space="preserve"> </w:t>
      </w:r>
      <w:r>
        <w:t xml:space="preserve">se o modelo (i)</w:t>
      </w:r>
      <w:r>
        <w:t xml:space="preserve"> </w:t>
      </w:r>
      <w:r>
        <w:rPr>
          <w:b/>
          <w:bCs/>
        </w:rPr>
        <w:t xml:space="preserve">antecipar ao menos 60% dos alertas don’t go</w:t>
      </w:r>
      <w:r>
        <w:t xml:space="preserve"> </w:t>
      </w:r>
      <w:r>
        <w:t xml:space="preserve">com aviso dentro da janela de 4 h e (ii) manter a carga de falsos positivos em nível absorvível pela rotina de inspeção (precisão ≥ 30%, ou seja, no máximo ~2 inspeções vazias para cada acerto). Como referência de valor: cada alerta antecipado converte parte de uma corretiva de emergência (média de 6,7 h na base) em intervenção planejada.</w:t>
      </w:r>
    </w:p>
    <w:p>
      <w:pPr>
        <w:pStyle w:val="BodyText"/>
      </w:pPr>
      <w:r>
        <w:rPr>
          <w:b/>
          <w:bCs/>
        </w:rPr>
        <w:t xml:space="preserve">Cenário de aplicação.</w:t>
      </w:r>
      <w:r>
        <w:t xml:space="preserve"> </w:t>
      </w:r>
      <w:r>
        <w:t xml:space="preserve">A cada fechamento de ciclo de apontamento (em média a cada ~25 min por equipamento), o pipeline recalcula o score de risco e atualiza um painel no sistema de monitoramento do despacho. Score acima do limiar acende um cartão</w:t>
      </w:r>
      <w:r>
        <w:t xml:space="preserve"> </w:t>
      </w:r>
      <w:r>
        <w:t xml:space="preserve">“inspecionar nas próximas 4 h”</w:t>
      </w:r>
      <w:r>
        <w:t xml:space="preserve">: o dispatcher redireciona o caminhão para uma rota próxima da oficina ou antecipa o abastecimento para coincidir com a inspeção, e a manutenção recebe a fila priorizada com o subsistema suspeito (derivado dos eventos que sustentam o score, via SHAP).</w:t>
      </w:r>
    </w:p>
    <w:bookmarkEnd w:id="14"/>
    <w:bookmarkEnd w:id="15"/>
    <w:bookmarkStart w:id="42" w:name="metodologia"/>
    <w:p>
      <w:pPr>
        <w:pStyle w:val="Heading1"/>
      </w:pPr>
      <w:r>
        <w:t xml:space="preserve">3. Metodologia</w:t>
      </w:r>
    </w:p>
    <w:p>
      <w:pPr>
        <w:pStyle w:val="FirstParagraph"/>
      </w:pPr>
      <w:r>
        <w:t xml:space="preserve">A metodologia segue o CRISP-DM: entendimento dos dados (3.2), preparação (3.3), modelagem (3.4–3.5) e avaliação (seção 4), sustentadas por um pipeline ETL reprodutível (3.1).</w:t>
      </w:r>
    </w:p>
    <w:bookmarkStart w:id="16" w:name="arquitetura-da-solução-e-pipeline-etl"/>
    <w:p>
      <w:pPr>
        <w:pStyle w:val="Heading2"/>
      </w:pPr>
      <w:r>
        <w:t xml:space="preserve">3.1 Arquitetura da solução e pipeline ETL</w:t>
      </w:r>
    </w:p>
    <w:p>
      <w:pPr>
        <w:pStyle w:val="FirstParagraph"/>
      </w:pPr>
      <w:r>
        <w:t xml:space="preserve">O pipeline foi implementado em Python 3 (pandas, scikit-learn, LightGBM, SHAP) e organizado em módulos com responsabilidade única, executáveis de ponta a ponta por</w:t>
      </w:r>
      <w:r>
        <w:t xml:space="preserve"> </w:t>
      </w:r>
      <w:r>
        <w:rPr>
          <w:rStyle w:val="VerbatimChar"/>
        </w:rPr>
        <w:t xml:space="preserve">executar_pipeline.py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src/etl/extracao.py</w:t>
      </w:r>
      <w:r>
        <w:t xml:space="preserve">) — leitura dos CSV compactados do data lake (Apontamentos, Telemetria) e das planilhas de negócio (catálogo CMA, dicionário), com tipagem explícita de datas e chaves.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src/etl/transformacao.py</w:t>
      </w:r>
      <w:r>
        <w:t xml:space="preserve">) — limpeza com</w:t>
      </w:r>
      <w:r>
        <w:t xml:space="preserve"> </w:t>
      </w:r>
      <w:r>
        <w:rPr>
          <w:b/>
          <w:bCs/>
        </w:rPr>
        <w:t xml:space="preserve">controle de alterações</w:t>
      </w:r>
      <w:r>
        <w:t xml:space="preserve">: cada correção ou exclusão gera uma linha de log ANTES/DEPOIS com justificativa (tabela na seção 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Carga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src/etl/carga.py</w:t>
      </w:r>
      <w:r>
        <w:t xml:space="preserve">) — materialização da camada tratada em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(colunar, tipado, ~6× menor que CSV nesta base; preserva dtypes entre etapas e permite reprocessamento parcial).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Rotulagem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src/regras/motor_regras.py</w:t>
      </w:r>
      <w:r>
        <w:t xml:space="preserve">) — aplicação das 151 regras do catálogo sobre a telemetria limpa.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src/features/engenharia.py</w:t>
      </w:r>
      <w:r>
        <w:t xml:space="preserve">) — construção da tabela analítica (ABT) por varredura vetorizada (busca binária sobre arrays ordenados por equipamento — o cálculo das ~30 janelas retroativas sobre 293 mil pontos roda em ~6 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Modelagem e avaliação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src/modelos/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src/avaliacao/</w:t>
      </w:r>
      <w:r>
        <w:t xml:space="preserve">) — treino, tuning, métricas, análise de erros, SHAP e impacto.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src/viz/figuras.py</w:t>
      </w:r>
      <w:r>
        <w:t xml:space="preserve">) — geração das 13 figuras do relatório.</w:t>
      </w:r>
    </w:p>
    <w:p>
      <w:pPr>
        <w:pStyle w:val="FirstParagraph"/>
      </w:pPr>
      <w:r>
        <w:t xml:space="preserve">Critérios de arquitetura: separação entre camadas bruta/tratada/analítica (medalhão simplificado), reprodutibilidade (semente fixa, split por data), e escalabilidade do desenho — as agregações por janela usam apenas ordenação temporal por equipamento, o que se traduz diretamente para janelas deslizantes em streaming (Spark Structured Streaming/Flink) no cenário de produção.</w:t>
      </w:r>
    </w:p>
    <w:bookmarkEnd w:id="16"/>
    <w:bookmarkStart w:id="32" w:name="X4191df0d2e2ac508568b58e9dfc69bff8b745a6"/>
    <w:p>
      <w:pPr>
        <w:pStyle w:val="Heading2"/>
      </w:pPr>
      <w:r>
        <w:t xml:space="preserve">3.2 Entendimento dos dados — EDA (CM 2.1, 2.2, 2.3)</w:t>
      </w:r>
    </w:p>
    <w:p>
      <w:pPr>
        <w:pStyle w:val="FirstParagraph"/>
      </w:pPr>
      <w:r>
        <w:rPr>
          <w:b/>
          <w:bCs/>
        </w:rPr>
        <w:t xml:space="preserve">Carga e inspeção inicial (CM 2.1).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Tabela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Linhas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Colunas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Nulos (total)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Duplicatas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Janela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296.946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5.342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734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01/09/2025 00:02 — 28/02/2026 (1 registro espúrio em 01/03)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323.374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180.479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967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01/09/2025 00:02 — 28/02/2026 23:56</w:t>
            </w:r>
          </w:p>
        </w:tc>
      </w:tr>
    </w:tbl>
    <w:p>
      <w:pPr>
        <w:pStyle w:val="BodyText"/>
      </w:pPr>
      <w:r>
        <w:t xml:space="preserve">A frequência média é de ~1.640 apontamentos/dia (≈33 ciclos por equipamento-dia) e ~1.786 eventos de telemetria/dia (≈36 por equipamento-dia), estáveis ao longo do semestre com oscilação mensal suave (Figura 2).</w:t>
      </w:r>
    </w:p>
    <w:p>
      <w:pPr>
        <w:pStyle w:val="BodyText"/>
      </w:pPr>
      <w:r>
        <w:t xml:space="preserve">Estatísticas descritivas das variáveis numéricas (antes da limpeza — os extremos já denunciam problemas de qualidade tratados na seção 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960"/>
        <w:gridCol w:w="960"/>
        <w:gridCol w:w="960"/>
        <w:gridCol w:w="96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Tabela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% Nulos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Média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Desvio Padrão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duracao_min (derivada)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−318,8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2.959,9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41,8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38,8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Valor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55,41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854,9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58,2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107,1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Id_Criticidade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Is_Dont_Go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int8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14,7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8,6</w:t>
            </w:r>
          </w:p>
        </w:tc>
      </w:tr>
    </w:tbl>
    <w:p>
      <w:pPr>
        <w:pStyle w:val="BodyText"/>
      </w:pPr>
      <w:r>
        <w:t xml:space="preserve">A duração mínima</w:t>
      </w:r>
      <w:r>
        <w:t xml:space="preserve"> </w:t>
      </w:r>
      <w:r>
        <w:rPr>
          <w:b/>
          <w:bCs/>
        </w:rPr>
        <w:t xml:space="preserve">negativa</w:t>
      </w:r>
      <w:r>
        <w:t xml:space="preserve"> </w:t>
      </w:r>
      <w:r>
        <w:t xml:space="preserve">(−318 min) e a máxima de</w:t>
      </w:r>
      <w:r>
        <w:t xml:space="preserve"> </w:t>
      </w:r>
      <w:r>
        <w:rPr>
          <w:b/>
          <w:bCs/>
        </w:rPr>
        <w:t xml:space="preserve">49 h</w:t>
      </w:r>
      <w:r>
        <w:t xml:space="preserve"> </w:t>
      </w:r>
      <w:r>
        <w:t xml:space="preserve">indicam, respectivamente, inversões Inicio/Fim e erros de data no fechamento — ambos tratados com regra explícita.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é nulo em 55% dos eventos (alarmes de estado não carregam leitura de sensor), o que orientou a decisão de não usá-lo como feature central.</w:t>
      </w:r>
    </w:p>
    <w:p>
      <w:pPr>
        <w:pStyle w:val="CaptionedFigure"/>
        <w:jc w:val="center"/>
      </w:pPr>
      <w:r>
        <w:drawing>
          <wp:inline>
            <wp:extent cx="5334000" cy="2645570"/>
            <wp:effectExtent b="0" l="0" r="0" t="0"/>
            <wp:docPr descr="Figura 2" title="" id="18" name="Picture"/>
            <a:graphic>
              <a:graphicData uri="http://schemas.openxmlformats.org/drawingml/2006/picture">
                <pic:pic>
                  <pic:nvPicPr>
                    <pic:cNvPr descr="figuras/fig02_volume_tempora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</w:t>
      </w:r>
    </w:p>
    <w:p>
      <w:pPr>
        <w:pStyle w:val="BodyText"/>
      </w:pPr>
      <w:r>
        <w:rPr>
          <w:b/>
          <w:bCs/>
        </w:rPr>
        <w:t xml:space="preserve">Análise da variável alvo (CM 2.2).</w:t>
      </w:r>
      <w:r>
        <w:t xml:space="preserve"> </w:t>
      </w:r>
      <w:r>
        <w:t xml:space="preserve">Após a rotulagem pelo motor de regras (seção 3.3), o período contém</w:t>
      </w:r>
      <w:r>
        <w:t xml:space="preserve"> </w:t>
      </w:r>
      <w:r>
        <w:rPr>
          <w:b/>
          <w:bCs/>
        </w:rPr>
        <w:t xml:space="preserve">1.409 alertas don’t go</w:t>
      </w:r>
      <w:r>
        <w:t xml:space="preserve"> </w:t>
      </w:r>
      <w:r>
        <w:t xml:space="preserve">— 7,8/dia na frota, ou 0,16 por equipamento-dia: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NIVEL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Alertas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ALARME OEM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Muito 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ALARME OEM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TENDÊNCIA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Muito 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TENDÊNCIA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SISTEMA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SISTEMA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Muito 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40</w:t>
            </w:r>
          </w:p>
        </w:tc>
      </w:tr>
    </w:tbl>
    <w:p>
      <w:pPr>
        <w:pStyle w:val="BodyText"/>
      </w:pPr>
      <w:r>
        <w:t xml:space="preserve">Os dez equipamentos mais ofensores concentram 31% dos alertas (CM-854 lidera com 56; CM-801 e EX-203 com 45), enquanto a mediana da frota é 26 — a cauda pesada é exatamente o que uma fila de inspeção priorizada explora.</w:t>
      </w:r>
      <w:r>
        <w:t xml:space="preserve"> </w:t>
      </w:r>
      <w:r>
        <w:rPr>
          <w:b/>
          <w:bCs/>
        </w:rPr>
        <w:t xml:space="preserve">Balanceamento:</w:t>
      </w:r>
      <w:r>
        <w:t xml:space="preserve"> </w:t>
      </w:r>
      <w:r>
        <w:t xml:space="preserve">nos 293.461 pontos de decisão da ABT, a classe positiva (alerta nas próximas 4 h) representa</w:t>
      </w:r>
      <w:r>
        <w:t xml:space="preserve"> </w:t>
      </w:r>
      <w:r>
        <w:rPr>
          <w:b/>
          <w:bCs/>
        </w:rPr>
        <w:t xml:space="preserve">2,36%</w:t>
      </w:r>
      <w:r>
        <w:t xml:space="preserve"> </w:t>
      </w:r>
      <w:r>
        <w:t xml:space="preserve">— desbalanceamento de ~1:41 que orientou a escolha de métricas (AUC-PR, F2) e de pesos de classe nos modelos. A série temporal diária (Figura 4) mostra regime estacionário com surtos (máx. 18 alertas/dia) e leve elevação em janeiro, sem sazonalidade semanal relevante.</w:t>
      </w:r>
    </w:p>
    <w:p>
      <w:pPr>
        <w:pStyle w:val="CaptionedFigure"/>
        <w:jc w:val="center"/>
      </w:pPr>
      <w:r>
        <w:drawing>
          <wp:inline>
            <wp:extent cx="5334000" cy="2087048"/>
            <wp:effectExtent b="0" l="0" r="0" t="0"/>
            <wp:docPr descr="Figura 3" title="" id="21" name="Picture"/>
            <a:graphic>
              <a:graphicData uri="http://schemas.openxmlformats.org/drawingml/2006/picture">
                <pic:pic>
                  <pic:nvPicPr>
                    <pic:cNvPr descr="figuras/fig03_alertas_tipo_nive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</w:t>
      </w:r>
    </w:p>
    <w:p>
      <w:pPr>
        <w:pStyle w:val="CaptionedFigure"/>
        <w:jc w:val="center"/>
      </w:pPr>
      <w:r>
        <w:drawing>
          <wp:inline>
            <wp:extent cx="5334000" cy="1827352"/>
            <wp:effectExtent b="0" l="0" r="0" t="0"/>
            <wp:docPr descr="Figura 4" title="" id="24" name="Picture"/>
            <a:graphic>
              <a:graphicData uri="http://schemas.openxmlformats.org/drawingml/2006/picture">
                <pic:pic>
                  <pic:nvPicPr>
                    <pic:cNvPr descr="figuras/fig04_serie_alerta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7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</w:t>
      </w:r>
    </w:p>
    <w:p>
      <w:pPr>
        <w:pStyle w:val="BodyText"/>
      </w:pPr>
      <w:r>
        <w:rPr>
          <w:b/>
          <w:bCs/>
        </w:rPr>
        <w:t xml:space="preserve">Análise de features (CM 2.3).</w:t>
      </w:r>
      <w:r>
        <w:t xml:space="preserve"> </w:t>
      </w:r>
      <w:r>
        <w:t xml:space="preserve">O heatmap de correlação de Spearman (Figura 5) entre as principais variáveis numéricas e o target mostra: (i) forte colinearidade dentro das famílias de contagem em janelas sobrepostas (</w:t>
      </w:r>
      <w:r>
        <w:rPr>
          <w:rStyle w:val="VerbatimChar"/>
        </w:rPr>
        <w:t xml:space="preserve">n_crit2_12h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n_crit2_24h</w:t>
      </w:r>
      <w:r>
        <w:t xml:space="preserve">: ρ ≈ 0,8 — esperado e tolerado, pois os modelos finais são de árvore); (ii) as correlações mais altas com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vêm de</w:t>
      </w:r>
      <w:r>
        <w:t xml:space="preserve"> </w:t>
      </w:r>
      <w:r>
        <w:rPr>
          <w:rStyle w:val="VerbatimChar"/>
        </w:rPr>
        <w:t xml:space="preserve">n_dg_12h/24h</w:t>
      </w:r>
      <w:r>
        <w:t xml:space="preserve">,</w:t>
      </w:r>
      <w:r>
        <w:t xml:space="preserve"> </w:t>
      </w:r>
      <w:r>
        <w:rPr>
          <w:rStyle w:val="VerbatimChar"/>
        </w:rPr>
        <w:t xml:space="preserve">quase_gatilhos_12h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n_crit2_12h</w:t>
      </w:r>
      <w:r>
        <w:t xml:space="preserve">; (iii)</w:t>
      </w:r>
      <w:r>
        <w:t xml:space="preserve"> </w:t>
      </w:r>
      <w:r>
        <w:rPr>
          <w:rStyle w:val="VerbatimChar"/>
        </w:rPr>
        <w:t xml:space="preserve">h_desde_alerta_dg</w:t>
      </w:r>
      <w:r>
        <w:t xml:space="preserve"> </w:t>
      </w:r>
      <w:r>
        <w:t xml:space="preserve">correlaciona negativamente (alerta recente → maior risco de recorrência).</w:t>
      </w:r>
    </w:p>
    <w:p>
      <w:pPr>
        <w:pStyle w:val="BodyText"/>
      </w:pPr>
      <w:r>
        <w:t xml:space="preserve">Distribuição por categoria: a taxa de don’t go por 1.000 h operadas varia</w:t>
      </w:r>
      <w:r>
        <w:t xml:space="preserve"> </w:t>
      </w:r>
      <w:r>
        <w:rPr>
          <w:b/>
          <w:bCs/>
        </w:rPr>
        <w:t xml:space="preserve">2,9×</w:t>
      </w:r>
      <w:r>
        <w:t xml:space="preserve"> </w:t>
      </w:r>
      <w:r>
        <w:t xml:space="preserve">entre frotas — 789-C 3S (frota mais antiga) com 12,78, 930-E 4SE com 11,90, 793-D 5S com 10,75, 793-F 6S (mais nova) com 8,47, PC5500-6 com 9,13 e LeTourneau L 1850 com 4,39. Padrões temporais: a taxa do target sobe de ~1,9% (madrugada) para ~3,1% no fim da manhã, com pico entre 10 h e 14 h (Figura 6) — consistente com a física dos subsistemas térmicos (arrefecimento, freios, pneus) sob temperatura ambiente máxima; entre turnos, A (2,46%) &gt; B (2,33%) &gt; C (2,30%); entre dias da semana a variação é pequena.</w:t>
      </w:r>
    </w:p>
    <w:p>
      <w:pPr>
        <w:pStyle w:val="BodyText"/>
      </w:pPr>
      <w:r>
        <w:t xml:space="preserve">Hipóteses registradas na EDA: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— calor da tarde eleva alertas térmicos (confirmada, Figura 6);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— operadores agressivos elevam a taxa no mesmo equipamento (confirmada: entre 133 operadores com ≥800 decisões, a taxa varia de 0,42% a 5,36% — 13×; ver 4.6);</w:t>
      </w:r>
      <w:r>
        <w:t xml:space="preserve"> </w:t>
      </w:r>
      <w:r>
        <w:rPr>
          <w:b/>
          <w:bCs/>
        </w:rPr>
        <w:t xml:space="preserve">H3</w:t>
      </w:r>
      <w:r>
        <w:t xml:space="preserve"> </w:t>
      </w:r>
      <w:r>
        <w:t xml:space="preserve">— frota mais antiga (789-C) falha mais (confirmada, 12,78 vs 8,47/1.000 h da 793-F);</w:t>
      </w:r>
      <w:r>
        <w:t xml:space="preserve"> </w:t>
      </w:r>
      <w:r>
        <w:rPr>
          <w:b/>
          <w:bCs/>
        </w:rPr>
        <w:t xml:space="preserve">H4</w:t>
      </w:r>
      <w:r>
        <w:t xml:space="preserve"> </w:t>
      </w:r>
      <w:r>
        <w:t xml:space="preserve">— risco cai logo após manutenção (confirmada via SHAP: valores baixos de</w:t>
      </w:r>
      <w:r>
        <w:t xml:space="preserve"> </w:t>
      </w:r>
      <w:r>
        <w:rPr>
          <w:rStyle w:val="VerbatimChar"/>
        </w:rPr>
        <w:t xml:space="preserve">h_desde_manut_corretiva</w:t>
      </w:r>
      <w:r>
        <w:t xml:space="preserve"> </w:t>
      </w:r>
      <w:r>
        <w:t xml:space="preserve">empurram o score para baixo);</w:t>
      </w:r>
      <w:r>
        <w:t xml:space="preserve"> </w:t>
      </w:r>
      <w:r>
        <w:rPr>
          <w:b/>
          <w:bCs/>
        </w:rPr>
        <w:t xml:space="preserve">H5</w:t>
      </w:r>
      <w:r>
        <w:t xml:space="preserve"> </w:t>
      </w:r>
      <w:r>
        <w:t xml:space="preserve">— fim de mês concentra alertas por pressão de produção (não confirmada — variação &lt; 8% entre quinzenas).</w:t>
      </w:r>
    </w:p>
    <w:p>
      <w:pPr>
        <w:pStyle w:val="CaptionedFigure"/>
        <w:jc w:val="center"/>
      </w:pPr>
      <w:r>
        <w:drawing>
          <wp:inline>
            <wp:extent cx="5334000" cy="4490792"/>
            <wp:effectExtent b="0" l="0" r="0" t="0"/>
            <wp:docPr descr="Figura 5" title="" id="27" name="Picture"/>
            <a:graphic>
              <a:graphicData uri="http://schemas.openxmlformats.org/drawingml/2006/picture">
                <pic:pic>
                  <pic:nvPicPr>
                    <pic:cNvPr descr="figuras/fig05_heatmap_correlaca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</w:t>
      </w:r>
    </w:p>
    <w:p>
      <w:pPr>
        <w:pStyle w:val="CaptionedFigure"/>
        <w:jc w:val="center"/>
      </w:pPr>
      <w:r>
        <w:drawing>
          <wp:inline>
            <wp:extent cx="5334000" cy="2109085"/>
            <wp:effectExtent b="0" l="0" r="0" t="0"/>
            <wp:docPr descr="Figura 6" title="" id="30" name="Picture"/>
            <a:graphic>
              <a:graphicData uri="http://schemas.openxmlformats.org/drawingml/2006/picture">
                <pic:pic>
                  <pic:nvPicPr>
                    <pic:cNvPr descr="figuras/fig06_taxa_hora_di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9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</w:t>
      </w:r>
    </w:p>
    <w:bookmarkEnd w:id="32"/>
    <w:bookmarkStart w:id="36" w:name="preparação-dos-dados-cm-3.1-3.2-3.3"/>
    <w:p>
      <w:pPr>
        <w:pStyle w:val="Heading2"/>
      </w:pPr>
      <w:r>
        <w:t xml:space="preserve">3.3 Preparação dos dados (CM 3.1, 3.2, 3.3)</w:t>
      </w:r>
    </w:p>
    <w:p>
      <w:pPr>
        <w:pStyle w:val="FirstParagraph"/>
      </w:pPr>
      <w:r>
        <w:rPr>
          <w:b/>
          <w:bCs/>
        </w:rPr>
        <w:t xml:space="preserve">Limpeza e tratamento (CM 3.1).</w:t>
      </w:r>
      <w:r>
        <w:t xml:space="preserve"> </w:t>
      </w:r>
      <w:r>
        <w:t xml:space="preserve">Toda alteração foi registrada com ANTES/DEPOIS e justificativa (arquivo</w:t>
      </w:r>
      <w:r>
        <w:t xml:space="preserve"> </w:t>
      </w:r>
      <w:r>
        <w:rPr>
          <w:rStyle w:val="VerbatimChar"/>
        </w:rPr>
        <w:t xml:space="preserve">relatorio/tabelas/controle_alteracoes.csv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Tabela / Campo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Problema identificado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Qtd.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Tratamento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todas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Registro duplicado (reenvio do despacho)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734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 (1ª ocorrência mantida)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Linhas idênticas em todos os campos, inclusive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Inicio,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Inicio posterior ao Fim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442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Troca dos campos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Padrão consistente com inversão de colunas na origem; duração resultante volta à distribuição normal da classe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Inicio,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Ciclo com duração zero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1.187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Sem conteúdo operacional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Duração &gt; 24 h (erro de data no fechamento)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157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Acima do turno máximo; corrigir seria especulativo; volume &lt; 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Sobreposição de ciclos na mesma Tag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Fim truncado no início do ciclo seguinte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Um equipamento não executa dois apontamentos simultâneos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Operador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Operador não informado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2.652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Categoria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“OP_DESCONHECIDO”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Excluir descartaria horas operadas válidas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 / todas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Evento duplicado (reprocessamento do coletor)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967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dupla distorceria as regras de QTD do catálogo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 / Valor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Ausente ou não numérico (</w:t>
            </w:r>
            <w:r>
              <w:rPr>
                <w:rFonts w:ascii="Arial" w:hAnsi="Arial"/>
                <w:sz w:val="17"/>
              </w:rPr>
              <w:t xml:space="preserve">“N/A”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178.635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Coerção para NaN, linha mantida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 disparo das regras depende do evento e do nível, não do Valor; imputar leitura inexistente criaria informação falsa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 / Operador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Operador não informado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Categoria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“OP_DESCONHECIDO”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Mesmo critério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Catálogo CMA / NIVEL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Grafias inconsistentes (</w:t>
            </w:r>
            <w:r>
              <w:rPr>
                <w:rFonts w:ascii="Arial" w:hAnsi="Arial"/>
                <w:sz w:val="17"/>
              </w:rPr>
              <w:t xml:space="preserve">“Muito alto”</w:t>
            </w:r>
            <w:r>
              <w:rPr>
                <w:rFonts w:ascii="Arial" w:hAnsi="Arial"/>
                <w:sz w:val="17"/>
              </w:rPr>
              <w:t xml:space="preserve">/</w:t>
            </w:r>
            <w:r>
              <w:rPr>
                <w:rFonts w:ascii="Arial" w:hAnsi="Arial"/>
                <w:sz w:val="17"/>
              </w:rPr>
              <w:t xml:space="preserve">“Muito Alto”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Padronização (title case)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Sem isso, a agregação por criticidade divide a mesma categoria em duas</w:t>
            </w:r>
          </w:p>
        </w:tc>
      </w:tr>
    </w:tbl>
    <w:p>
      <w:pPr>
        <w:pStyle w:val="BodyText"/>
      </w:pPr>
      <w:r>
        <w:t xml:space="preserve">Resultado: 296.946 →</w:t>
      </w:r>
      <w:r>
        <w:t xml:space="preserve"> </w:t>
      </w:r>
      <w:r>
        <w:rPr>
          <w:b/>
          <w:bCs/>
        </w:rPr>
        <w:t xml:space="preserve">294.865</w:t>
      </w:r>
      <w:r>
        <w:t xml:space="preserve"> </w:t>
      </w:r>
      <w:r>
        <w:t xml:space="preserve">apontamentos e 323.374 →</w:t>
      </w:r>
      <w:r>
        <w:t xml:space="preserve"> </w:t>
      </w:r>
      <w:r>
        <w:rPr>
          <w:b/>
          <w:bCs/>
        </w:rPr>
        <w:t xml:space="preserve">322.407</w:t>
      </w:r>
      <w:r>
        <w:t xml:space="preserve"> </w:t>
      </w:r>
      <w:r>
        <w:t xml:space="preserve">eventos válidos.</w:t>
      </w:r>
      <w:r>
        <w:t xml:space="preserve"> </w:t>
      </w:r>
      <w:r>
        <w:rPr>
          <w:b/>
          <w:bCs/>
        </w:rPr>
        <w:t xml:space="preserve">Outliers:</w:t>
      </w:r>
      <w:r>
        <w:t xml:space="preserve"> </w:t>
      </w:r>
      <w:r>
        <w:t xml:space="preserve">durações negativas e &gt; 24 h foram tratadas pelas regras acima; nas demais variáveis optou-se por</w:t>
      </w:r>
      <w:r>
        <w:t xml:space="preserve"> </w:t>
      </w:r>
      <w:r>
        <w:rPr>
          <w:b/>
          <w:bCs/>
        </w:rPr>
        <w:t xml:space="preserve">manter</w:t>
      </w:r>
      <w:r>
        <w:t xml:space="preserve"> </w:t>
      </w:r>
      <w:r>
        <w:t xml:space="preserve">valores extremos (ex.: rajadas de 15+ eventos/h) — em telemetria de degradação, o outlier frequentemente</w:t>
      </w:r>
      <w:r>
        <w:t xml:space="preserve"> </w:t>
      </w:r>
      <w:r>
        <w:rPr>
          <w:b/>
          <w:bCs/>
        </w:rPr>
        <w:t xml:space="preserve">é</w:t>
      </w:r>
      <w:r>
        <w:t xml:space="preserve"> </w:t>
      </w:r>
      <w:r>
        <w:t xml:space="preserve">o sinal, e os modelos escolhidos (árvores) são robustos a caudas.</w:t>
      </w:r>
    </w:p>
    <w:p>
      <w:pPr>
        <w:pStyle w:val="BodyText"/>
      </w:pPr>
      <w:r>
        <w:rPr>
          <w:b/>
          <w:bCs/>
        </w:rPr>
        <w:t xml:space="preserve">Engenharia de features (CM 3.2).</w:t>
      </w:r>
      <w:r>
        <w:t xml:space="preserve"> </w:t>
      </w:r>
      <w:r>
        <w:t xml:space="preserve">56 features em cinco famílias — todas calculadas apenas com informação anterior ao instante de decisão 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Feature (família)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Fórmula / Lógica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Motivação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n_crit{1,2,3}_{4,12,24,72}h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(12)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de eventos por criticidade em janelas retroativas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nº de eventos da Tag com Id_Criticidade=c em (t−N h, t]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 escada nível 1→2→3 é o precursor físico do don’t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n_dg_{4,12,24,72}h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(4)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de eventos cujo alarme consta no catálogo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idem, filtrado por Is_Dont_Go=1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Aproximação direta das pré-condições das regras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quase_gatilhos_{12,24}h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(2)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Nº de vezes em que um evento do catálogo se repetiu em &lt; 6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2ª ocorrência do mesmo EVENTO da Tag dentro de 6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Regras exigem QTD 2–10 na janela; a 2ª ocorrência é 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“meio caminho”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mensurável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n_tendencia_24h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Eventos de tendência (MC/MA) em 24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por nome no conjunto TENDÊNCIA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Tendências são desenhadas pela engenharia como precursoras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h_desde_crit1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h_desde_alerta_dg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Horas desde o último evento crítico / último alerta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 − max(timestamp ≤ t), teto 240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Recorrência: falha recente prediz falha próxima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razao_taxa_24h_30d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Taxa de eventos 24 h ÷ taxa média 30 d da própria Tag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n_24h / (n_720h/30)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Normaliza 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“temperamento”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de cada equipamento; captura anomalia relativa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horas_operadas_24h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ciclos_24h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duracao_min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razao_duracao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Utilização e ritmo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somas/contagens de apontamentos; duração ÷ mediana da (Tag, Classe)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Exposição ao risco e ciclos anômalos (lentidão = sintoma)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h_desde_manut_corretiva/preventiva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Horas desde a última manutenção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idem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“desde último”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Saúde renovada após intervenção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hora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hora_sin/cos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dia_semana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fim_de_semana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mes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turno_{A,B,C}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Calendário e turno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extração direta + codificação cíclica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Padrão térmico diurno (H1) e regime de turnos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frota_*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tipo_*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classe_*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(one-hot)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Cadastro do equipamento e classe do ciclo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one-hot (cardinalidade ≤ 7)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Diferenças estruturais entre frotas (H3)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tag_taxa_alerta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op_taxa_alerta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Taxa histórica de alerta do equipamento e do operador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target encoding com suavização bayesiana (m=50),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b/>
                <w:bCs/>
                <w:sz w:val="17"/>
              </w:rPr>
              <w:t xml:space="preserve">estimado só no treino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Cardinalidade alta (50 Tags, 133 operadores) inviabiliza one-hot; taxa histórica carrega o sinal (H2)</w:t>
            </w:r>
          </w:p>
        </w:tc>
      </w:tr>
    </w:tbl>
    <w:p>
      <w:pPr>
        <w:pStyle w:val="BodyText"/>
      </w:pPr>
      <w:r>
        <w:rPr>
          <w:b/>
          <w:bCs/>
        </w:rPr>
        <w:t xml:space="preserve">Encoding categórico — justificativa:</w:t>
      </w:r>
      <w:r>
        <w:t xml:space="preserve"> </w:t>
      </w:r>
      <w:r>
        <w:t xml:space="preserve">one-hot para baixa cardinalidade (Frota 6, Tipo 3, Classe 5, turno 3) por ser lossless e interpretável; target encoding suavizado para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 </w:t>
      </w:r>
      <w:r>
        <w:t xml:space="preserve">(alta cardinalidade), estimado exclusivamente no período de treino para evitar vazamento;</w:t>
      </w:r>
      <w:r>
        <w:t xml:space="preserve"> </w:t>
      </w:r>
      <w:r>
        <w:rPr>
          <w:rStyle w:val="VerbatimChar"/>
        </w:rPr>
        <w:t xml:space="preserve">OP_DESCONHECIDO</w:t>
      </w:r>
      <w:r>
        <w:t xml:space="preserve"> </w:t>
      </w:r>
      <w:r>
        <w:t xml:space="preserve">mantido como categoria com flag própria.</w:t>
      </w:r>
    </w:p>
    <w:p>
      <w:pPr>
        <w:pStyle w:val="BodyText"/>
      </w:pPr>
      <w:r>
        <w:rPr>
          <w:b/>
          <w:bCs/>
        </w:rPr>
        <w:t xml:space="preserve">Definição da variável alvo (CM 3.3).</w:t>
      </w:r>
      <w:r>
        <w:t xml:space="preserve"> </w:t>
      </w:r>
      <w:r>
        <w:t xml:space="preserve">A rotulagem aplica as 151 regras do catálogo sobre a telemetria limpa. Interpretações registradas (controle de decisões metodológicas):</w:t>
      </w:r>
    </w:p>
    <w:p>
      <w:pPr>
        <w:pStyle w:val="Compact"/>
        <w:numPr>
          <w:ilvl w:val="0"/>
          <w:numId w:val="1003"/>
        </w:numPr>
      </w:pPr>
      <w:r>
        <w:t xml:space="preserve">Equivalência de níveis:</w:t>
      </w:r>
      <w:r>
        <w:t xml:space="preserve"> </w:t>
      </w:r>
      <w:r>
        <w:t xml:space="preserve">“alarme nível 3”</w:t>
      </w:r>
      <w:r>
        <w:t xml:space="preserve"> </w:t>
      </w:r>
      <w:r>
        <w:t xml:space="preserve">≡ Id_Criticidade 1 (Crítico);</w:t>
      </w:r>
      <w:r>
        <w:t xml:space="preserve"> </w:t>
      </w:r>
      <w:r>
        <w:t xml:space="preserve">“nível 2”</w:t>
      </w:r>
      <w:r>
        <w:t xml:space="preserve"> </w:t>
      </w:r>
      <w:r>
        <w:t xml:space="preserve">≡ 2 (Não Crítico);</w:t>
      </w:r>
      <w:r>
        <w:t xml:space="preserve"> </w:t>
      </w:r>
      <w:r>
        <w:t xml:space="preserve">“nível 1”</w:t>
      </w:r>
      <w:r>
        <w:t xml:space="preserve"> </w:t>
      </w:r>
      <w:r>
        <w:t xml:space="preserve">≡ 3 (Informacional).</w:t>
      </w:r>
    </w:p>
    <w:p>
      <w:pPr>
        <w:pStyle w:val="Compact"/>
        <w:numPr>
          <w:ilvl w:val="0"/>
          <w:numId w:val="1003"/>
        </w:numPr>
      </w:pPr>
      <w:r>
        <w:t xml:space="preserve">“N alarmes consecutivos”</w:t>
      </w:r>
      <w:r>
        <w:t xml:space="preserve"> </w:t>
      </w:r>
      <w:r>
        <w:t xml:space="preserve">foi aproximado por</w:t>
      </w:r>
      <w:r>
        <w:t xml:space="preserve"> </w:t>
      </w:r>
      <w:r>
        <w:t xml:space="preserve">“QTD ocorrências dentro de TEMPO minutos”</w:t>
      </w:r>
      <w:r>
        <w:t xml:space="preserve"> </w:t>
      </w:r>
      <w:r>
        <w:t xml:space="preserve">— sem o estado intermediário do alarme não é possível verificar interrupções; a aproximação nunca dispara com menos eventos que o exigido.</w:t>
      </w:r>
    </w:p>
    <w:p>
      <w:pPr>
        <w:pStyle w:val="Compact"/>
        <w:numPr>
          <w:ilvl w:val="0"/>
          <w:numId w:val="1003"/>
        </w:numPr>
      </w:pPr>
      <w:r>
        <w:t xml:space="preserve">Regras SISTEMA (Minecare/MEMS,</w:t>
      </w:r>
      <w:r>
        <w:t xml:space="preserve"> </w:t>
      </w:r>
      <w:r>
        <w:t xml:space="preserve">“acima de 40 minutos”</w:t>
      </w:r>
      <w:r>
        <w:t xml:space="preserve">) disparam na ocorrência do evento, que já materializa a condição.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Cooldown de 6 h</w:t>
      </w:r>
      <w:r>
        <w:t xml:space="preserve"> </w:t>
      </w:r>
      <w:r>
        <w:t xml:space="preserve">por (equipamento, regra) e colapso de disparos da mesma (Tag, EVENTO) em 30 min (prevalece o de maior NIVEL): um episódio físico único não deve virar dezenas de alertas. ANTES: 3.451 disparos brutos; DEPOIS:</w:t>
      </w:r>
      <w:r>
        <w:t xml:space="preserve"> </w:t>
      </w:r>
      <w:r>
        <w:rPr>
          <w:b/>
          <w:bCs/>
        </w:rPr>
        <w:t xml:space="preserve">1.409 alertas</w:t>
      </w:r>
      <w:r>
        <w:t xml:space="preserve"> </w:t>
      </w:r>
      <w:r>
        <w:t xml:space="preserve">don’t go.</w:t>
      </w:r>
    </w:p>
    <w:p>
      <w:pPr>
        <w:pStyle w:val="FirstParagraph"/>
      </w:pPr>
      <w:r>
        <w:rPr>
          <w:b/>
          <w:bCs/>
        </w:rPr>
        <w:t xml:space="preserve">Estratégia do target:</w:t>
      </w:r>
      <w:r>
        <w:t xml:space="preserve"> </w:t>
      </w:r>
      <w:r>
        <w:t xml:space="preserve">classificação binária —</w:t>
      </w:r>
      <w:r>
        <w:t xml:space="preserve"> </w:t>
      </w:r>
      <w:r>
        <w:rPr>
          <w:rStyle w:val="VerbatimChar"/>
        </w:rPr>
        <w:t xml:space="preserve">y=1</w:t>
      </w:r>
      <w:r>
        <w:t xml:space="preserve"> </w:t>
      </w:r>
      <w:r>
        <w:t xml:space="preserve">se existe alerta don’t go do equipamento em (t, t+4 h], onde t é o fim de cada apontamento fora de manutenção.</w:t>
      </w:r>
      <w:r>
        <w:t xml:space="preserve"> </w:t>
      </w:r>
      <w:r>
        <w:rPr>
          <w:b/>
          <w:bCs/>
        </w:rPr>
        <w:t xml:space="preserve">Justificativa da janela de 4 h:</w:t>
      </w:r>
      <w:r>
        <w:t xml:space="preserve"> </w:t>
      </w:r>
      <w:r>
        <w:t xml:space="preserve">é o tempo operacional mínimo para ação corretiva sem caos — o despacho completa o ciclo corrente (~25–40 min), redireciona a máquina para rota próxima da oficina e a manutenção prepara box/peças/equipe (2–3 h); janelas maiores (8 h+) diluem a precisão e viram</w:t>
      </w:r>
      <w:r>
        <w:t xml:space="preserve"> </w:t>
      </w:r>
      <w:r>
        <w:t xml:space="preserve">“previsão de turno”</w:t>
      </w:r>
      <w:r>
        <w:t xml:space="preserve">, janelas menores (1–2 h) não dão tempo de agir. A formulação por regressão do tempo-até-alerta foi considerada e descartada nesta fase: 97,6% dos pontos não têm alerta em horizonte curto (censura pesada), e a decisão operacional é binária (inspecionar ou não).</w:t>
      </w:r>
    </w:p>
    <w:p>
      <w:pPr>
        <w:pStyle w:val="CaptionedFigure"/>
        <w:jc w:val="center"/>
      </w:pPr>
      <w:r>
        <w:drawing>
          <wp:inline>
            <wp:extent cx="5334000" cy="1535132"/>
            <wp:effectExtent b="0" l="0" r="0" t="0"/>
            <wp:docPr descr="Figura 7" title="" id="34" name="Picture"/>
            <a:graphic>
              <a:graphicData uri="http://schemas.openxmlformats.org/drawingml/2006/picture">
                <pic:pic>
                  <pic:nvPicPr>
                    <pic:cNvPr descr="figuras/fig07_janela_predi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</w:t>
      </w:r>
    </w:p>
    <w:bookmarkEnd w:id="36"/>
    <w:bookmarkStart w:id="40" w:name="estratégia-de-validação-cm-4.1"/>
    <w:p>
      <w:pPr>
        <w:pStyle w:val="Heading2"/>
      </w:pPr>
      <w:r>
        <w:t xml:space="preserve">3.4 Estratégia de validação (CM 4.1)</w:t>
      </w:r>
    </w:p>
    <w:p>
      <w:pPr>
        <w:pStyle w:val="FirstParagraph"/>
      </w:pPr>
      <w:r>
        <w:t xml:space="preserve">Dados temporais não podem ser divididos aleatoriamente: um k-fold padrão colocaria a tarde de uma degradação no treino e a manhã da mesma degradação no teste — o modelo</w:t>
      </w:r>
      <w:r>
        <w:t xml:space="preserve"> </w:t>
      </w:r>
      <w:r>
        <w:t xml:space="preserve">“preveria”</w:t>
      </w:r>
      <w:r>
        <w:t xml:space="preserve"> </w:t>
      </w:r>
      <w:r>
        <w:t xml:space="preserve">um episódio que já viu pela metade, inflando todas as métricas (data leakage). Além disso, os encodings de taxa histórica (Tag/operador) seriam contaminados com informação do futuro.</w:t>
      </w:r>
    </w:p>
    <w:p>
      <w:pPr>
        <w:pStyle w:val="BodyText"/>
      </w:pPr>
      <w:r>
        <w:t xml:space="preserve">Adotou-se</w:t>
      </w:r>
      <w:r>
        <w:t xml:space="preserve"> </w:t>
      </w:r>
      <w:r>
        <w:rPr>
          <w:b/>
          <w:bCs/>
        </w:rPr>
        <w:t xml:space="preserve">hold-out temporal</w:t>
      </w:r>
      <w:r>
        <w:t xml:space="preserve"> </w:t>
      </w:r>
      <w:r>
        <w:t xml:space="preserve">com cortes fixos (Figura 8):</w:t>
      </w:r>
      <w:r>
        <w:t xml:space="preserve"> </w:t>
      </w:r>
      <w:r>
        <w:rPr>
          <w:b/>
          <w:bCs/>
        </w:rPr>
        <w:t xml:space="preserve">treino = 01/09/2025 a 31/12/2025</w:t>
      </w:r>
      <w:r>
        <w:t xml:space="preserve"> </w:t>
      </w:r>
      <w:r>
        <w:t xml:space="preserve">(197.856 pontos, 67%, prevalência 2,28%);</w:t>
      </w:r>
      <w:r>
        <w:t xml:space="preserve"> </w:t>
      </w:r>
      <w:r>
        <w:rPr>
          <w:b/>
          <w:bCs/>
        </w:rPr>
        <w:t xml:space="preserve">validação = jan/2026</w:t>
      </w:r>
      <w:r>
        <w:t xml:space="preserve"> </w:t>
      </w:r>
      <w:r>
        <w:t xml:space="preserve">(50.123 pontos, 17%, 2,93%) — usada para tuning de hiperparâmetros e escolha de limiar;</w:t>
      </w:r>
      <w:r>
        <w:t xml:space="preserve"> </w:t>
      </w:r>
      <w:r>
        <w:rPr>
          <w:b/>
          <w:bCs/>
        </w:rPr>
        <w:t xml:space="preserve">teste = fev/2026</w:t>
      </w:r>
      <w:r>
        <w:t xml:space="preserve"> </w:t>
      </w:r>
      <w:r>
        <w:t xml:space="preserve">(45.482 pontos, 16%, 2,10%) — avaliado</w:t>
      </w:r>
      <w:r>
        <w:t xml:space="preserve"> </w:t>
      </w:r>
      <w:r>
        <w:rPr>
          <w:b/>
          <w:bCs/>
        </w:rPr>
        <w:t xml:space="preserve">uma única vez</w:t>
      </w:r>
      <w:r>
        <w:t xml:space="preserve">, com limiar congelado. Nenhuma estatística (encodings, escalas, hiperparâmetros) foi estimada fora do treino.</w:t>
      </w:r>
    </w:p>
    <w:p>
      <w:pPr>
        <w:pStyle w:val="CaptionedFigure"/>
        <w:jc w:val="center"/>
      </w:pPr>
      <w:r>
        <w:drawing>
          <wp:inline>
            <wp:extent cx="5334000" cy="1359799"/>
            <wp:effectExtent b="0" l="0" r="0" t="0"/>
            <wp:docPr descr="Figura 8" title="" id="38" name="Picture"/>
            <a:graphic>
              <a:graphicData uri="http://schemas.openxmlformats.org/drawingml/2006/picture">
                <pic:pic>
                  <pic:nvPicPr>
                    <pic:cNvPr descr="figuras/fig08_validacao_tempor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9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</w:t>
      </w:r>
    </w:p>
    <w:bookmarkEnd w:id="40"/>
    <w:bookmarkStart w:id="41" w:name="Xce1c72c1f1820454c1188dcd5c29f01630c9566"/>
    <w:p>
      <w:pPr>
        <w:pStyle w:val="Heading2"/>
      </w:pPr>
      <w:r>
        <w:t xml:space="preserve">3.5 Baseline e modelagem principal (CM 4.2, 4.3)</w:t>
      </w:r>
    </w:p>
    <w:p>
      <w:pPr>
        <w:pStyle w:val="FirstParagraph"/>
      </w:pPr>
      <w:r>
        <w:rPr>
          <w:b/>
          <w:bCs/>
        </w:rPr>
        <w:t xml:space="preserve">Baselines (CM 4.2).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Dummy</w:t>
      </w:r>
      <w:r>
        <w:t xml:space="preserve"> </w:t>
      </w:r>
      <w:r>
        <w:t xml:space="preserve">— probabilidade a priori da classe (piso estatístico: AUC-PR = prevalência = 0,021 no teste). (2)</w:t>
      </w:r>
      <w:r>
        <w:t xml:space="preserve"> </w:t>
      </w:r>
      <w:r>
        <w:rPr>
          <w:b/>
          <w:bCs/>
        </w:rPr>
        <w:t xml:space="preserve">Heurística do despacho</w:t>
      </w:r>
      <w:r>
        <w:t xml:space="preserve"> </w:t>
      </w:r>
      <w:r>
        <w:t xml:space="preserve">— score = nº de alarmes do catálogo don’t go nas últimas 12 h: é a melhor aproximação do que um despachante atento faz hoje olhando o painel, e o baseline honesto a ser batido (teste: AUC-ROC 0,825, AUC-PR 0,239).</w:t>
      </w:r>
    </w:p>
    <w:p>
      <w:pPr>
        <w:pStyle w:val="BodyText"/>
      </w:pPr>
      <w:r>
        <w:rPr>
          <w:b/>
          <w:bCs/>
        </w:rPr>
        <w:t xml:space="preserve">Abordagem 1 — supervisionada (classificação).</w:t>
      </w:r>
      <w:r>
        <w:t xml:space="preserve"> </w:t>
      </w:r>
      <w:r>
        <w:t xml:space="preserve">Três famílias com complexidade crescente: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Regressão Logística</w:t>
      </w:r>
      <w:r>
        <w:t xml:space="preserve"> </w:t>
      </w:r>
      <w:r>
        <w:t xml:space="preserve">(StandardScaler + class_weight=balanced; C ∈ {0,01; 0,1; 1; 10} escolhido na validação → C=0,01). Papel: fronteira linear interpretável.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 Forest</w:t>
      </w:r>
      <w:r>
        <w:t xml:space="preserve"> </w:t>
      </w:r>
      <w:r>
        <w:t xml:space="preserve">(400 árvores, max_features=√p, class_weight=balanced_subsample; min_samples_leaf ∈ {5, 20, 60} → 5). Papel: não linearidades sem tuning pesado.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LightGBM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busca aleatória com 30 configurações</w:t>
      </w:r>
      <w:r>
        <w:t xml:space="preserve"> </w:t>
      </w:r>
      <w:r>
        <w:t xml:space="preserve">sobre num_leaves {15–127}, learning_rate log-uniforme [0,01; 0,2], min_child_samples {10–200}, feature_fraction e bagging_fraction [0,6; 1,0], regularizações L1/L2 log-uniformes e scale_pos_weight {1, √41, 41}, com early stopping (60 rodadas) monitorando average precision na validação. Configuração vencedora: num_leaves=127, learning_rate=0,032, min_child_samples=200, feature_fraction=0,87, bagging_fraction=0,66, scale_pos_weight=1, 67 árvores. A seleção por AUC-PR (e não accuracy/AUC-ROC) é deliberada: com 2,4% de positivos, é a métrica que discrimina modelos na região operacional.</w:t>
      </w:r>
    </w:p>
    <w:p>
      <w:pPr>
        <w:pStyle w:val="FirstParagraph"/>
      </w:pPr>
      <w:r>
        <w:rPr>
          <w:b/>
          <w:bCs/>
        </w:rPr>
        <w:t xml:space="preserve">Abordagem 2 — não supervisionada.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Isolation Forest</w:t>
      </w:r>
      <w:r>
        <w:t xml:space="preserve"> </w:t>
      </w:r>
      <w:r>
        <w:t xml:space="preserve">(300 árvores, max_samples=0,5) treinado</w:t>
      </w:r>
      <w:r>
        <w:t xml:space="preserve"> </w:t>
      </w:r>
      <w:r>
        <w:rPr>
          <w:b/>
          <w:bCs/>
        </w:rPr>
        <w:t xml:space="preserve">apenas com operação normal</w:t>
      </w:r>
      <w:r>
        <w:t xml:space="preserve"> </w:t>
      </w:r>
      <w:r>
        <w:t xml:space="preserve">(pontos de treino sem alerta nas 4 h seguintes) e sem os encodings supervisionados; os alertas do teste servem só como ground truth de validação. Pergunta: o desvio do padrão normal antecede o don’t go mesmo sem rótulo? (b)</w:t>
      </w:r>
      <w:r>
        <w:t xml:space="preserve"> </w:t>
      </w:r>
      <w:r>
        <w:rPr>
          <w:b/>
          <w:bCs/>
        </w:rPr>
        <w:t xml:space="preserve">K-Means</w:t>
      </w:r>
      <w:r>
        <w:t xml:space="preserve"> </w:t>
      </w:r>
      <w:r>
        <w:t xml:space="preserve">(k=4, features padronizadas) sobre agregados equipamento-dia, para descobrir perfis de comportamento e sua associação com a incidência de alertas.</w:t>
      </w:r>
    </w:p>
    <w:bookmarkEnd w:id="41"/>
    <w:bookmarkEnd w:id="42"/>
    <w:bookmarkStart w:id="64" w:name="resultados-e-discussões"/>
    <w:p>
      <w:pPr>
        <w:pStyle w:val="Heading1"/>
      </w:pPr>
      <w:r>
        <w:t xml:space="preserve">4. Resultados e Discussões</w:t>
      </w:r>
    </w:p>
    <w:bookmarkStart w:id="46" w:name="Xec0ace658515582a0fc55bb0c96af3301d9f108"/>
    <w:p>
      <w:pPr>
        <w:pStyle w:val="Heading2"/>
      </w:pPr>
      <w:r>
        <w:t xml:space="preserve">4.1 Seleção de métricas e comparação de modelos (CM 5.1)</w:t>
      </w:r>
    </w:p>
    <w:p>
      <w:pPr>
        <w:pStyle w:val="FirstParagraph"/>
      </w:pPr>
      <w:r>
        <w:t xml:space="preserve">Com prevalência de 2,1% no teste, accuracy é inútil (o Dummy</w:t>
      </w:r>
      <w:r>
        <w:t xml:space="preserve"> </w:t>
      </w:r>
      <w:r>
        <w:t xml:space="preserve">“acerta”</w:t>
      </w:r>
      <w:r>
        <w:t xml:space="preserve"> </w:t>
      </w:r>
      <w:r>
        <w:t xml:space="preserve">97,9%). As métricas primárias são</w:t>
      </w:r>
      <w:r>
        <w:t xml:space="preserve"> </w:t>
      </w:r>
      <w:r>
        <w:rPr>
          <w:b/>
          <w:bCs/>
        </w:rPr>
        <w:t xml:space="preserve">AUC-PR</w:t>
      </w:r>
      <w:r>
        <w:t xml:space="preserve"> </w:t>
      </w:r>
      <w:r>
        <w:t xml:space="preserve">(qualidade do ranking na região rara),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no limiar operacional e</w:t>
      </w:r>
      <w:r>
        <w:t xml:space="preserve"> </w:t>
      </w:r>
      <w:r>
        <w:rPr>
          <w:b/>
          <w:bCs/>
        </w:rPr>
        <w:t xml:space="preserve">AUC-ROC</w:t>
      </w:r>
      <w:r>
        <w:t xml:space="preserve"> </w:t>
      </w:r>
      <w:r>
        <w:t xml:space="preserve">como visão complementar. O</w:t>
      </w:r>
      <w:r>
        <w:t xml:space="preserve"> </w:t>
      </w:r>
      <w:r>
        <w:rPr>
          <w:b/>
          <w:bCs/>
        </w:rPr>
        <w:t xml:space="preserve">custo dos erros é assimétrico</w:t>
      </w:r>
      <w:r>
        <w:t xml:space="preserve">: um falso negativo é uma parada não planejada (horas de máquina, risco de dano secundário e de segurança); um falso positivo é ~1 h de inspeção. Por isso o limiar de operação foi escolhido na validação</w:t>
      </w:r>
      <w:r>
        <w:t xml:space="preserve"> </w:t>
      </w:r>
      <w:r>
        <w:rPr>
          <w:b/>
          <w:bCs/>
        </w:rPr>
        <w:t xml:space="preserve">maximizando F2</w:t>
      </w:r>
      <w:r>
        <w:t xml:space="preserve"> </w:t>
      </w:r>
      <w:r>
        <w:t xml:space="preserve">(recall pesa o dobro da precisão) — o ponto da curva Precision-Recall coerente com esse custo.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960"/>
        <w:gridCol w:w="960"/>
        <w:gridCol w:w="960"/>
        <w:gridCol w:w="960"/>
        <w:gridCol w:w="960"/>
        <w:gridCol w:w="96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Conjunto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AUC-ROC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AUC-PR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Dummy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0,021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piso estatístico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Heurística (alarmes 12 h)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0,539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0,239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prática atual do painel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Regressão Logística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0,304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C=0,01, 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0,626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0,506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0,383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leaf=5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LightGBM (campeão)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0,601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0,443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0,871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0,398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limiar F2=0,091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Isolation Forest (não superv.)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0,157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sem rótulo no treino</w:t>
            </w:r>
          </w:p>
        </w:tc>
      </w:tr>
    </w:tbl>
    <w:p>
      <w:pPr>
        <w:pStyle w:val="BodyText"/>
      </w:pPr>
      <w:r>
        <w:t xml:space="preserve">Na validação os números são consistentes (LightGBM: AUC-PR 0,426; RF 0,403; RL 0,330), sem inversões de ranking entre validação e teste — indício de tuning sem overfitting à validação. As curvas ROC e PR (Figura 9) mostram que a vantagem do LightGBM se concentra exatamente na região útil (recall 0,4–0,7 com precisão 0,45–0,65).</w:t>
      </w:r>
    </w:p>
    <w:p>
      <w:pPr>
        <w:pStyle w:val="CaptionedFigure"/>
        <w:jc w:val="center"/>
      </w:pPr>
      <w:r>
        <w:drawing>
          <wp:inline>
            <wp:extent cx="5334000" cy="2315925"/>
            <wp:effectExtent b="0" l="0" r="0" t="0"/>
            <wp:docPr descr="Figura 9" title="" id="44" name="Picture"/>
            <a:graphic>
              <a:graphicData uri="http://schemas.openxmlformats.org/drawingml/2006/picture">
                <pic:pic>
                  <pic:nvPicPr>
                    <pic:cNvPr descr="figuras/fig09_roc_p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</w:t>
      </w:r>
    </w:p>
    <w:bookmarkEnd w:id="46"/>
    <w:bookmarkStart w:id="50" w:name="análise-de-erros-cm-5.2"/>
    <w:p>
      <w:pPr>
        <w:pStyle w:val="Heading2"/>
      </w:pPr>
      <w:r>
        <w:t xml:space="preserve">4.2 Análise de erros (CM 5.2)</w:t>
      </w:r>
    </w:p>
    <w:p>
      <w:pPr>
        <w:pStyle w:val="FirstParagraph"/>
      </w:pPr>
      <w:r>
        <w:rPr>
          <w:b/>
          <w:bCs/>
        </w:rPr>
        <w:t xml:space="preserve">Matriz de confusão (teste, limiar F2 = 0,091):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Previsto: sem alerta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Previsto: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Real: sem alerta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VN = 43.459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FP = 1.066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Real: alerta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FN = 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VP = 575</w:t>
            </w:r>
          </w:p>
        </w:tc>
      </w:tr>
    </w:tbl>
    <w:p>
      <w:pPr>
        <w:pStyle w:val="BodyText"/>
      </w:pPr>
      <w:r>
        <w:t xml:space="preserve">Tradução operacional: em fevereiro, o modelo teria emitido 1.641 cartões de inspeção (~59/dia na frota de 50, ~1,2 por equipamento-dia); 575 antecederam alerta real. Os 1.066 falsos positivos custam ~38 h/dia de verificação distribuídas na frota — absorvível pela equipe de inspeção volante e parcialmente aproveitável (inspeção visual agrega valor mesmo sem falha iminente). Os 382 falsos negativos são o custo residual: paradas que continuariam chegando sem aviso.</w:t>
      </w:r>
    </w:p>
    <w:p>
      <w:pPr>
        <w:pStyle w:val="BodyText"/>
      </w:pPr>
      <w:r>
        <w:rPr>
          <w:b/>
          <w:bCs/>
        </w:rPr>
        <w:t xml:space="preserve">Casos extremos — onde o modelo sistematicamente falha (Figura 10 e tabelas de FN):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Falhas de comunicação (SISTEMA): 121 positivos, 100% de FN.</w:t>
      </w:r>
      <w:r>
        <w:t xml:space="preserve"> </w:t>
      </w:r>
      <w:r>
        <w:rPr>
          <w:rStyle w:val="VerbatimChar"/>
        </w:rPr>
        <w:t xml:space="preserve">Minecare não funciona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MEMS não comunica</w:t>
      </w:r>
      <w:r>
        <w:t xml:space="preserve"> </w:t>
      </w:r>
      <w:r>
        <w:t xml:space="preserve">não têm precursor físico na telemetria — são quedas de rede/hardware embarcado.</w:t>
      </w:r>
      <w:r>
        <w:t xml:space="preserve"> </w:t>
      </w:r>
      <w:r>
        <w:rPr>
          <w:b/>
          <w:bCs/>
        </w:rPr>
        <w:t xml:space="preserve">Não é um problema de modelo</w:t>
      </w:r>
      <w:r>
        <w:t xml:space="preserve">: é a fronteira do que telemetria de condição consegue prever (discussão em 4.6).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Sensor errático: 17 positivos, 100% de FN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 Oil Level - Data Erratic</w:t>
      </w:r>
      <w:r>
        <w:t xml:space="preserve">): falha súbita de sensor, sem rampa.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Frota LeTourneau L 1850: 85% de FN</w:t>
      </w:r>
      <w:r>
        <w:t xml:space="preserve"> </w:t>
      </w:r>
      <w:r>
        <w:t xml:space="preserve">— a frota tem os alertas mais raros (4,4/1.000 h) e as regras dos seus eventos (</w:t>
      </w:r>
      <w:r>
        <w:rPr>
          <w:rStyle w:val="VerbatimChar"/>
        </w:rPr>
        <w:t xml:space="preserve">HPD Gearbox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Over Temperature</w:t>
      </w:r>
      <w:r>
        <w:t xml:space="preserve">) são de disparo imediato (QTD=1), com pouca escada precursora; o modelo tem pouco material para aprender.</w:t>
      </w:r>
    </w:p>
    <w:p>
      <w:pPr>
        <w:pStyle w:val="Compact"/>
        <w:numPr>
          <w:ilvl w:val="0"/>
          <w:numId w:val="1005"/>
        </w:numPr>
      </w:pPr>
      <w:r>
        <w:t xml:space="preserve">Excluindo os dois grupos estruturalmente imprevisíveis (SISTEMA + sensor errático, 138 positivos), o recall sobre os alertas</w:t>
      </w:r>
      <w:r>
        <w:t xml:space="preserve"> </w:t>
      </w:r>
      <w:r>
        <w:rPr>
          <w:b/>
          <w:bCs/>
        </w:rPr>
        <w:t xml:space="preserve">prognosticáveis</w:t>
      </w:r>
      <w:r>
        <w:t xml:space="preserve"> </w:t>
      </w:r>
      <w:r>
        <w:t xml:space="preserve">sobe para</w:t>
      </w:r>
      <w:r>
        <w:t xml:space="preserve"> </w:t>
      </w:r>
      <w:r>
        <w:rPr>
          <w:b/>
          <w:bCs/>
        </w:rPr>
        <w:t xml:space="preserve">70,2%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Degradação temporal (drift).</w:t>
      </w:r>
      <w:r>
        <w:t xml:space="preserve"> </w:t>
      </w:r>
      <w:r>
        <w:t xml:space="preserve">AUC-ROC por quinzena: jan 0,812 → 0,899; fev 0,855 → 0,886; AUC-PR entre 0,368 e 0,474 com prevalência oscilando 1,9–3,1%. Não há tendência de queda ao longo de 8 semanas fora do treino — sem evidência de concept drift no horizonte avaliado; a variação entre quinzenas acompanha a prevalência (mais surtos = ranking mais fácil).</w:t>
      </w:r>
    </w:p>
    <w:p>
      <w:pPr>
        <w:pStyle w:val="CaptionedFigure"/>
        <w:jc w:val="center"/>
      </w:pPr>
      <w:r>
        <w:drawing>
          <wp:inline>
            <wp:extent cx="5334000" cy="4115665"/>
            <wp:effectExtent b="0" l="0" r="0" t="0"/>
            <wp:docPr descr="Figura 10" title="" id="48" name="Picture"/>
            <a:graphic>
              <a:graphicData uri="http://schemas.openxmlformats.org/drawingml/2006/picture">
                <pic:pic>
                  <pic:nvPicPr>
                    <pic:cNvPr descr="figuras/fig10_matriz_confusa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</w:t>
      </w:r>
    </w:p>
    <w:bookmarkEnd w:id="50"/>
    <w:bookmarkStart w:id="57" w:name="interpretabilidade-cm-5.3"/>
    <w:p>
      <w:pPr>
        <w:pStyle w:val="Heading2"/>
      </w:pPr>
      <w:r>
        <w:t xml:space="preserve">4.3 Interpretabilidade (CM 5.3)</w:t>
      </w:r>
    </w:p>
    <w:p>
      <w:pPr>
        <w:pStyle w:val="FirstParagraph"/>
      </w:pPr>
      <w:r>
        <w:t xml:space="preserve">O SHAP summary (Figura 11) valida o modelo contra a intuição operacional — as cinco features mais importantes têm leitura física direta: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n_dg_12h</w:t>
      </w:r>
      <w:r>
        <w:t xml:space="preserve"> </w:t>
      </w:r>
      <w:r>
        <w:t xml:space="preserve">— alarmes do catálogo nas últimas 12 h: é a matéria-prima das regras; valores altos (vermelho) empurram o score fortemente para cima.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op_taxa_alerta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/>
          <w:bCs/>
        </w:rPr>
        <w:t xml:space="preserve">tag_taxa_alerta</w:t>
      </w:r>
      <w:r>
        <w:t xml:space="preserve"> </w:t>
      </w:r>
      <w:r>
        <w:t xml:space="preserve">— o</w:t>
      </w:r>
      <w:r>
        <w:t xml:space="preserve"> </w:t>
      </w:r>
      <w:r>
        <w:t xml:space="preserve">“quem”</w:t>
      </w:r>
      <w:r>
        <w:t xml:space="preserve">: operador com histórico agressivo e equipamento cronicamente ofensor elevam o risco de base (H2 e H3 confirmadas dentro do modelo).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n_crit2_12h</w:t>
      </w:r>
      <w:r>
        <w:t xml:space="preserve"> </w:t>
      </w:r>
      <w:r>
        <w:t xml:space="preserve">— a escada de nível 2 em janela curta, precursora clássica do nível 3.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h_desde_alerta_dg</w:t>
      </w:r>
      <w:r>
        <w:t xml:space="preserve"> </w:t>
      </w:r>
      <w:r>
        <w:t xml:space="preserve">— pouco tempo desde o último alerta → recorrência provável (manutenção que não elimina causa raiz).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n_crit3_72h</w:t>
      </w:r>
      <w:r>
        <w:t xml:space="preserve">,</w:t>
      </w:r>
      <w:r>
        <w:t xml:space="preserve"> </w:t>
      </w:r>
      <w:r>
        <w:rPr>
          <w:rStyle w:val="VerbatimChar"/>
        </w:rPr>
        <w:t xml:space="preserve">n_dg_24h/72h</w:t>
      </w:r>
      <w:r>
        <w:t xml:space="preserve"> </w:t>
      </w:r>
      <w:r>
        <w:t xml:space="preserve">— o acúmulo lento de fundo;</w:t>
      </w:r>
      <w:r>
        <w:t xml:space="preserve"> </w:t>
      </w:r>
      <w:r>
        <w:rPr>
          <w:rStyle w:val="VerbatimChar"/>
        </w:rPr>
        <w:t xml:space="preserve">h_desde_manut_corretiva</w:t>
      </w:r>
      <w:r>
        <w:t xml:space="preserve"> </w:t>
      </w:r>
      <w:r>
        <w:t xml:space="preserve">baixa</w:t>
      </w:r>
      <w:r>
        <w:t xml:space="preserve"> </w:t>
      </w:r>
      <w:r>
        <w:rPr>
          <w:b/>
          <w:bCs/>
        </w:rPr>
        <w:t xml:space="preserve">reduz</w:t>
      </w:r>
      <w:r>
        <w:t xml:space="preserve"> </w:t>
      </w:r>
      <w:r>
        <w:t xml:space="preserve">o score (máquina recém-intervinda), coerente com H4.</w:t>
      </w:r>
    </w:p>
    <w:p>
      <w:pPr>
        <w:pStyle w:val="FirstParagraph"/>
      </w:pPr>
      <w:r>
        <w:t xml:space="preserve">Nenhuma feature importante carece de explicação operacional — critério de validação de sentido atendido. O waterfall (Figura 12) decompõe a predição de maior score entre os verdadeiros positivos (CM-702, 25/02/2026 09:12): 14 alarmes don’t go e 15 eventos nível 2 em 12 h, 8 quase-gatilhos e alerta anterior há ~5 h somam +4,7 em log-odds sobre a base E[f(X)]=−4,7 → probabilidade 0,81; o equipamento disparou</w:t>
      </w:r>
      <w:r>
        <w:t xml:space="preserve"> </w:t>
      </w:r>
      <w:r>
        <w:rPr>
          <w:rStyle w:val="VerbatimChar"/>
        </w:rPr>
        <w:t xml:space="preserve">Low Transmission Oil Level</w:t>
      </w:r>
      <w:r>
        <w:t xml:space="preserve"> </w:t>
      </w:r>
      <w:r>
        <w:t xml:space="preserve">dentro da janela. É o caso de uso do painel: o cartão de inspeção viria com as três evidências listadas.</w:t>
      </w:r>
    </w:p>
    <w:p>
      <w:pPr>
        <w:pStyle w:val="CaptionedFigure"/>
        <w:jc w:val="center"/>
      </w:pPr>
      <w:r>
        <w:drawing>
          <wp:inline>
            <wp:extent cx="5334000" cy="3870190"/>
            <wp:effectExtent b="0" l="0" r="0" t="0"/>
            <wp:docPr descr="Figura 11" title="" id="52" name="Picture"/>
            <a:graphic>
              <a:graphicData uri="http://schemas.openxmlformats.org/drawingml/2006/picture">
                <pic:pic>
                  <pic:nvPicPr>
                    <pic:cNvPr descr="figuras/fig11_shap_summa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</w:t>
      </w:r>
    </w:p>
    <w:p>
      <w:pPr>
        <w:pStyle w:val="CaptionedFigure"/>
        <w:jc w:val="center"/>
      </w:pPr>
      <w:r>
        <w:drawing>
          <wp:inline>
            <wp:extent cx="5334000" cy="4897942"/>
            <wp:effectExtent b="0" l="0" r="0" t="0"/>
            <wp:docPr descr="Figura 12" title="" id="55" name="Picture"/>
            <a:graphic>
              <a:graphicData uri="http://schemas.openxmlformats.org/drawingml/2006/picture">
                <pic:pic>
                  <pic:nvPicPr>
                    <pic:cNvPr descr="figuras/fig12_shap_waterfal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7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</w:t>
      </w:r>
    </w:p>
    <w:bookmarkEnd w:id="57"/>
    <w:bookmarkStart w:id="58" w:name="X856981725481d2bef482b864bcdc72de3edbabf"/>
    <w:p>
      <w:pPr>
        <w:pStyle w:val="Heading2"/>
      </w:pPr>
      <w:r>
        <w:t xml:space="preserve">4.4 Abordagem não supervisionada — o que ela adiciona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Isolation Forest</w:t>
      </w:r>
      <w:r>
        <w:t xml:space="preserve">, sem nunca ver um rótulo, alcança AUC-ROC 0,826 no teste — desvio do padrão normal de operação é, de fato, sinal precursor. Mas seu AUC-PR (0,157) é 2,5× menor que o do LightGBM: ele sabe que</w:t>
      </w:r>
      <w:r>
        <w:t xml:space="preserve"> </w:t>
      </w:r>
      <w:r>
        <w:t xml:space="preserve">“algo está estranho”</w:t>
      </w:r>
      <w:r>
        <w:t xml:space="preserve">, não sabe se o estranho termina em don’t go. Uso recomendado: cerca de segurança para</w:t>
      </w:r>
      <w:r>
        <w:t xml:space="preserve"> </w:t>
      </w:r>
      <w:r>
        <w:rPr>
          <w:b/>
          <w:bCs/>
        </w:rPr>
        <w:t xml:space="preserve">modos de falha novos</w:t>
      </w:r>
      <w:r>
        <w:t xml:space="preserve"> </w:t>
      </w:r>
      <w:r>
        <w:t xml:space="preserve">que ainda não têm regra no catálogo (eventos que o supervisionado não aprendeu), complementando — não substituindo — o modelo supervisionado.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K-Means</w:t>
      </w:r>
      <w:r>
        <w:t xml:space="preserve"> </w:t>
      </w:r>
      <w:r>
        <w:t xml:space="preserve">(k=4) sobre agregados equipamento-dia encontrou uma partição com leitura operacional imediata: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Dias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Eventos/24h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Nível 2/24h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Alarmes catálogo/24h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Quase-gatilhos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Taxa de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2 —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b/>
                <w:bCs/>
                <w:sz w:val="17"/>
              </w:rPr>
              <w:t xml:space="preserve">pré-falha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992 (10,9%)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16,0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12,8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53%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0 — atenção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2.615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48,3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1 — uso intenso saudável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1.737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37,7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3 — estável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3.731 (41%)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34,8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3%</w:t>
            </w:r>
          </w:p>
        </w:tc>
      </w:tr>
    </w:tbl>
    <w:p>
      <w:pPr>
        <w:pStyle w:val="BodyText"/>
      </w:pPr>
      <w:r>
        <w:t xml:space="preserve">O cluster 2 concentra 10,9% dos dias e 53% de chance de alerta — um</w:t>
      </w:r>
      <w:r>
        <w:t xml:space="preserve"> </w:t>
      </w:r>
      <w:r>
        <w:t xml:space="preserve">“estado da máquina”</w:t>
      </w:r>
      <w:r>
        <w:t xml:space="preserve"> </w:t>
      </w:r>
      <w:r>
        <w:t xml:space="preserve">que poderia ser exibido como semáforo no painel do despacho, mais legível para operação do que um score contínuo.</w:t>
      </w:r>
    </w:p>
    <w:bookmarkEnd w:id="58"/>
    <w:bookmarkStart w:id="59" w:name="priorização-da-fila-de-inspeção"/>
    <w:p>
      <w:pPr>
        <w:pStyle w:val="Heading2"/>
      </w:pPr>
      <w:r>
        <w:t xml:space="preserve">4.5 Priorização da fila de inspeção</w:t>
      </w:r>
    </w:p>
    <w:p>
      <w:pPr>
        <w:pStyle w:val="FirstParagraph"/>
      </w:pPr>
      <w:r>
        <w:t xml:space="preserve">O score ordena a fila de manutenção: no último dia do teste (28/02), os cinco primeiros da fila (CM-852, CM-803, CF-101, CM-851, CM-804) concentravam os maiores riscos residuais da frota. Ao longo de fevereiro, seguir a fila do modelo teria colocado a equipe de inspeção na máquina certa antes do alerta em 7 de cada 10 disparos (taxa de antecipação de 70,7%).</w:t>
      </w:r>
    </w:p>
    <w:bookmarkEnd w:id="59"/>
    <w:bookmarkStart w:id="63" w:name="impacto-de-negócio-e-insights-cm-6.1"/>
    <w:p>
      <w:pPr>
        <w:pStyle w:val="Heading2"/>
      </w:pPr>
      <w:r>
        <w:t xml:space="preserve">4.6 Impacto de negócio e insights (CM 6.1)</w:t>
      </w:r>
    </w:p>
    <w:p>
      <w:pPr>
        <w:pStyle w:val="FirstParagraph"/>
      </w:pPr>
      <w:r>
        <w:rPr>
          <w:b/>
          <w:bCs/>
        </w:rPr>
        <w:t xml:space="preserve">Comparação com baseline.</w:t>
      </w:r>
      <w:r>
        <w:t xml:space="preserve"> </w:t>
      </w:r>
      <w:r>
        <w:t xml:space="preserve">O LightGBM supera a heurística do despacho em</w:t>
      </w:r>
      <w:r>
        <w:t xml:space="preserve"> </w:t>
      </w:r>
      <w:r>
        <w:rPr>
          <w:b/>
          <w:bCs/>
        </w:rPr>
        <w:t xml:space="preserve">+66% de AUC-PR</w:t>
      </w:r>
      <w:r>
        <w:t xml:space="preserve"> </w:t>
      </w:r>
      <w:r>
        <w:t xml:space="preserve">(0,398 vs 0,239),</w:t>
      </w:r>
      <w:r>
        <w:t xml:space="preserve"> </w:t>
      </w:r>
      <w:r>
        <w:rPr>
          <w:b/>
          <w:bCs/>
        </w:rPr>
        <w:t xml:space="preserve">+11% de recall</w:t>
      </w:r>
      <w:r>
        <w:t xml:space="preserve"> </w:t>
      </w:r>
      <w:r>
        <w:t xml:space="preserve">(0,601 vs 0,539) e</w:t>
      </w:r>
      <w:r>
        <w:t xml:space="preserve"> </w:t>
      </w:r>
      <w:r>
        <w:rPr>
          <w:b/>
          <w:bCs/>
        </w:rPr>
        <w:t xml:space="preserve">+11% de precisão</w:t>
      </w:r>
      <w:r>
        <w:t xml:space="preserve"> </w:t>
      </w:r>
      <w:r>
        <w:t xml:space="preserve">(0,350 vs 0,315) no mesmo ponto de custo; sobre o Dummy, o lift de precisão é 16,7× (Figura 13). Em termos práticos: para cada 100 cartões de inspeção, a heurística acerta 31 e o modelo 35 — e o modelo captura 6 pontos percentuais a mais dos alertas.</w:t>
      </w:r>
    </w:p>
    <w:p>
      <w:pPr>
        <w:pStyle w:val="BodyText"/>
      </w:pPr>
      <w:r>
        <w:rPr>
          <w:b/>
          <w:bCs/>
        </w:rPr>
        <w:t xml:space="preserve">Tradução para impacto (fev/2026, premissas explícitas: custo de indisponibilidade R$ 6.000/h, inspeção R$ 450, 35% da duração da corretiva economizável quando a intervenção é antecipada):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Alertas don’t go no mês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Alertas antecipados (≥1 predição correta nas 4 h anteriores)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133 (</w:t>
            </w:r>
            <w:r>
              <w:rPr>
                <w:rFonts w:ascii="Arial" w:hAnsi="Arial"/>
                <w:b/>
                <w:bCs/>
                <w:sz w:val="17"/>
              </w:rPr>
              <w:t xml:space="preserve">70,7%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Antecedência mediana do primeiro aviso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3,4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Duração média da manutenção corretiva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6,7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Horas de parada não planejada evitáveis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313,7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Benefício bruto estimado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R$ 1,88 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Custo das 1.066 inspeções vazias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R$ 0,48 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Benefício líquido estimado no mês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R$ 1,40 mi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Insights não óbvios: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 teto do preditivo é a infraestrutura, não o algoritmo.</w:t>
      </w:r>
      <w:r>
        <w:t xml:space="preserve"> </w:t>
      </w:r>
      <w:r>
        <w:t xml:space="preserve">12,6% dos positivos do teste (SISTEMA + sensor errático) são fisicamente imprevisíveis por telemetria de condição. Nenhum modelo os alcançará; a solução é redundância de comunicação e watchdog de sensores. Sem separar esses grupos, qualquer meta de recall global acima de ~85% é irrealista — definir metas por classe de causa é mais honesto.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 operador importa tanto quanto a máquina.</w:t>
      </w:r>
      <w:r>
        <w:t xml:space="preserve"> </w:t>
      </w:r>
      <w:r>
        <w:rPr>
          <w:rStyle w:val="VerbatimChar"/>
        </w:rPr>
        <w:t xml:space="preserve">op_taxa_alerta</w:t>
      </w:r>
      <w:r>
        <w:t xml:space="preserve"> </w:t>
      </w:r>
      <w:r>
        <w:t xml:space="preserve">é a 2ª feature mais importante do SHAP, e a taxa por operador varia 13× (0,42% a 5,36%) em equipamentos comparáveis. Há um programa de treinamento escondido nesses dados.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Recorrência é o padrão dominante</w:t>
      </w:r>
      <w:r>
        <w:t xml:space="preserve">: alerta há &lt; 24 h é forte preditor do próximo (h_desde_alerta_dg no top 5). Parte dos don’t go são a mesma causa raiz mal resolvida voltando — um indicador de qualidade de manutenção, não só de condição.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frota mais</w:t>
      </w:r>
      <w:r>
        <w:rPr>
          <w:b/>
          <w:bCs/>
        </w:rPr>
        <w:t xml:space="preserve"> </w:t>
      </w:r>
      <w:r>
        <w:rPr>
          <w:b/>
          <w:bCs/>
        </w:rPr>
        <w:t xml:space="preserve">“saudável”</w:t>
      </w:r>
      <w:r>
        <w:rPr>
          <w:b/>
          <w:bCs/>
        </w:rPr>
        <w:t xml:space="preserve"> </w:t>
      </w:r>
      <w:r>
        <w:rPr>
          <w:b/>
          <w:bCs/>
        </w:rPr>
        <w:t xml:space="preserve">é a mais imprevisível</w:t>
      </w:r>
      <w:r>
        <w:t xml:space="preserve"> </w:t>
      </w:r>
      <w:r>
        <w:t xml:space="preserve">(L-1850: menor taxa, maior % de FN) — raridade + regras de disparo imediato = pouco precursor. Para ela, vale mais sensorização adicional que modelo.</w:t>
      </w:r>
    </w:p>
    <w:p>
      <w:pPr>
        <w:pStyle w:val="CaptionedFigure"/>
        <w:jc w:val="center"/>
      </w:pPr>
      <w:r>
        <w:drawing>
          <wp:inline>
            <wp:extent cx="5334000" cy="2087048"/>
            <wp:effectExtent b="0" l="0" r="0" t="0"/>
            <wp:docPr descr="Figura 13" title="" id="61" name="Picture"/>
            <a:graphic>
              <a:graphicData uri="http://schemas.openxmlformats.org/drawingml/2006/picture">
                <pic:pic>
                  <pic:nvPicPr>
                    <pic:cNvPr descr="figuras/fig13_baseline_vs_modelo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</w:t>
      </w:r>
    </w:p>
    <w:bookmarkEnd w:id="63"/>
    <w:bookmarkEnd w:id="64"/>
    <w:bookmarkStart w:id="67" w:name="conclusão-e-trabalhos-futuros"/>
    <w:p>
      <w:pPr>
        <w:pStyle w:val="Heading1"/>
      </w:pPr>
      <w:r>
        <w:t xml:space="preserve">5. Conclusão e Trabalhos Futuros</w:t>
      </w:r>
    </w:p>
    <w:bookmarkStart w:id="65" w:name="resposta-à-pergunta-analítica-cm-6.2"/>
    <w:p>
      <w:pPr>
        <w:pStyle w:val="Heading2"/>
      </w:pPr>
      <w:r>
        <w:t xml:space="preserve">5.1 Resposta à pergunta analítica (CM 6.2)</w:t>
      </w:r>
    </w:p>
    <w:p>
      <w:pPr>
        <w:pStyle w:val="FirstParagraph"/>
      </w:pPr>
      <w:r>
        <w:rPr>
          <w:b/>
          <w:bCs/>
        </w:rPr>
        <w:t xml:space="preserve">“Quais equipamentos têm maior risco de gerar um alerta don’t go nas próximas 4 horas?”</w:t>
      </w:r>
      <w:r>
        <w:t xml:space="preserve"> </w:t>
      </w:r>
      <w:r>
        <w:t xml:space="preserve">— a pergunta foi respondida com um pipeline reprodutível que, a cada fechamento de ciclo, ranqueia a frota por probabilidade de alerta: no teste cego (fev/2026), o ranking tem AUC-ROC 0,871/AUC-PR 0,398, antecipou</w:t>
      </w:r>
      <w:r>
        <w:t xml:space="preserve"> </w:t>
      </w:r>
      <w:r>
        <w:rPr>
          <w:b/>
          <w:bCs/>
        </w:rPr>
        <w:t xml:space="preserve">70,7% dos alertas</w:t>
      </w:r>
      <w:r>
        <w:t xml:space="preserve"> </w:t>
      </w:r>
      <w:r>
        <w:t xml:space="preserve">com mediana de 3,4 h de aviso e precisão de 35% no limiar F2 — atingindo a métrica de sucesso definida a priori (≥60% de antecipação com precisão ≥30%). O modelo aprendeu mecanismos com respaldo físico (escada de severidade, repetição em janela curta, recorrência, efeito operador), verificados por SHAP.</w:t>
      </w:r>
    </w:p>
    <w:p>
      <w:pPr>
        <w:pStyle w:val="BodyText"/>
      </w:pPr>
      <w:r>
        <w:rPr>
          <w:b/>
          <w:bCs/>
        </w:rPr>
        <w:t xml:space="preserve">Limitações (honestas):</w:t>
      </w:r>
      <w:r>
        <w:t xml:space="preserve"> </w:t>
      </w:r>
      <w:r>
        <w:t xml:space="preserve">(i) seis meses de dados — a sazonalidade anual completa (estação chuvosa cheia) não está coberta; (ii) o rótulo deriva do catálogo CMA — regras erradas ou incompletas propagam para o target (</w:t>
      </w:r>
      <w:r>
        <w:t xml:space="preserve">“consecutivos”</w:t>
      </w:r>
      <w:r>
        <w:t xml:space="preserve"> </w:t>
      </w:r>
      <w:r>
        <w:t xml:space="preserve">foi aproximado por janela, decisão documentada); (iii) telemetria agregada em eventos, sem as séries contínuas de sensores (pressões, temperaturas em alta frequência), que elevariam o teto de desempenho; (iv) encodings de taxa histórica assumem estabilidade de frota/quadro de operadores — equipamentos ou operadores novos entram com prior global; (v) premissas financeiras (R$ 6.000/h, 35% de economia) são estimativas de ordem de grandeza a calibrar com a área de planejamento; (vi) generalização para outros corredores exige re-treino — os padrões aprendidos são específicos desta frota e catálogo.</w:t>
      </w:r>
    </w:p>
    <w:bookmarkEnd w:id="65"/>
    <w:bookmarkStart w:id="66" w:name="trabalhos-futuros-cm-6.3"/>
    <w:p>
      <w:pPr>
        <w:pStyle w:val="Heading2"/>
      </w:pPr>
      <w:r>
        <w:t xml:space="preserve">5.2 Trabalhos futuros (CM 6.3)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Novos dados:</w:t>
      </w:r>
      <w:r>
        <w:t xml:space="preserve"> </w:t>
      </w:r>
      <w:r>
        <w:t xml:space="preserve">integrar ordens de serviço do ERP de manutenção (causa raiz real, componente trocado, horímetro) para separar</w:t>
      </w:r>
      <w:r>
        <w:t xml:space="preserve"> </w:t>
      </w:r>
      <w:r>
        <w:t xml:space="preserve">“alerta antecipável”</w:t>
      </w:r>
      <w:r>
        <w:t xml:space="preserve"> </w:t>
      </w:r>
      <w:r>
        <w:t xml:space="preserve">de</w:t>
      </w:r>
      <w:r>
        <w:t xml:space="preserve"> </w:t>
      </w:r>
      <w:r>
        <w:t xml:space="preserve">“manutenção mal executada”</w:t>
      </w:r>
      <w:r>
        <w:t xml:space="preserve">, além de dados climáticos horários (a taxa dobra no pico térmico — temperatura ambiente como feature direta) e séries contínuas de sensores via historiador.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Novas features / formulação:</w:t>
      </w:r>
      <w:r>
        <w:t xml:space="preserve"> </w:t>
      </w:r>
      <w:r>
        <w:t xml:space="preserve">duas cabeças complementares — regressão/sobrevivência (Weibull AFT ou Cox com censura, tempo-até-alerta por subsistema) para priorização fina além do binário 4 h; e classificação multi-rótulo do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 alerta (transmissão vs. motor vs. freio), que o waterfall SHAP já insinua, entregando à manutenção o subsistema suspeito junto com o cartão.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Abordagens alternativas:</w:t>
      </w:r>
      <w:r>
        <w:t xml:space="preserve"> </w:t>
      </w:r>
      <w:r>
        <w:t xml:space="preserve">aprendizado online (re-treino incremental semanal com monitoramento de drift por PSI das features e AUC-PR móvel — a rotina de degradação temporal da seção 4.2 já é o embrião) e custo-sensível explícito (otimizar diretamente o benefício líquido em R$ em vez de F2).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Integração operacional:</w:t>
      </w:r>
      <w:r>
        <w:t xml:space="preserve"> </w:t>
      </w:r>
      <w:r>
        <w:t xml:space="preserve">publicar o score via API no sistema de despacho com atualização por evento (a arquitetura de janelas ordenadas migra direto para streaming), cartões com as 3 evidências SHAP, semáforo do K-Means como camada de leitura rápida, e ciclo de feedback do inspetor (achou/não achou problema) realimentando o treino — transformando cada falso positivo em rótulo novo.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erências-e-recursos"/>
    <w:p>
      <w:pPr>
        <w:pStyle w:val="Heading1"/>
      </w:pPr>
      <w:r>
        <w:t xml:space="preserve">Referências e Recursos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Alarmes - SUL_SUDESTE.xlsx</w:t>
      </w:r>
      <w:r>
        <w:t xml:space="preserve"> </w:t>
      </w:r>
      <w:r>
        <w:t xml:space="preserve">— catálogo de regras de negócio para alertas don’t go (pasta</w:t>
      </w:r>
      <w:r>
        <w:t xml:space="preserve"> </w:t>
      </w:r>
      <w:r>
        <w:rPr>
          <w:rStyle w:val="VerbatimChar"/>
        </w:rPr>
        <w:t xml:space="preserve">dados/negocio/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Dicionario_Dados.xlsx</w:t>
      </w:r>
      <w:r>
        <w:t xml:space="preserve"> </w:t>
      </w:r>
      <w:r>
        <w:t xml:space="preserve">— dicionário das tabelas Apontamentos e Telemetria.</w:t>
      </w:r>
    </w:p>
    <w:p>
      <w:pPr>
        <w:pStyle w:val="Compact"/>
        <w:numPr>
          <w:ilvl w:val="0"/>
          <w:numId w:val="1009"/>
        </w:numPr>
      </w:pPr>
      <w:r>
        <w:t xml:space="preserve">Estudo Guiado — Desafio: Análise Avançada de Dados, Programa Desenvolver, Edição 2026.</w:t>
      </w:r>
    </w:p>
    <w:p>
      <w:pPr>
        <w:pStyle w:val="Compact"/>
        <w:numPr>
          <w:ilvl w:val="0"/>
          <w:numId w:val="1009"/>
        </w:numPr>
      </w:pPr>
      <w:r>
        <w:t xml:space="preserve">scikit-learn — https://scikit-learn.org</w:t>
      </w:r>
    </w:p>
    <w:p>
      <w:pPr>
        <w:pStyle w:val="Compact"/>
        <w:numPr>
          <w:ilvl w:val="0"/>
          <w:numId w:val="1009"/>
        </w:numPr>
      </w:pPr>
      <w:r>
        <w:t xml:space="preserve">LightGBM — https://lightgbm.readthedocs.io</w:t>
      </w:r>
    </w:p>
    <w:p>
      <w:pPr>
        <w:pStyle w:val="Compact"/>
        <w:numPr>
          <w:ilvl w:val="0"/>
          <w:numId w:val="1009"/>
        </w:numPr>
      </w:pPr>
      <w:r>
        <w:t xml:space="preserve">SHAP — https://shap.readthedocs.io</w:t>
      </w:r>
    </w:p>
    <w:p>
      <w:pPr>
        <w:pStyle w:val="Compact"/>
        <w:numPr>
          <w:ilvl w:val="0"/>
          <w:numId w:val="1009"/>
        </w:numPr>
      </w:pPr>
      <w:r>
        <w:t xml:space="preserve">Ke, G. et al. </w:t>
      </w:r>
      <w:r>
        <w:rPr>
          <w:i/>
          <w:iCs/>
        </w:rPr>
        <w:t xml:space="preserve">LightGBM: A Highly Efficient Gradient Boosting Decision Tree</w:t>
      </w:r>
      <w:r>
        <w:t xml:space="preserve">. NeurIPS, 2017.</w:t>
      </w:r>
    </w:p>
    <w:p>
      <w:pPr>
        <w:pStyle w:val="Compact"/>
        <w:numPr>
          <w:ilvl w:val="0"/>
          <w:numId w:val="1009"/>
        </w:numPr>
      </w:pPr>
      <w:r>
        <w:t xml:space="preserve">Lundberg, S.; Lee, S.-I.</w:t>
      </w:r>
      <w:r>
        <w:t xml:space="preserve"> </w:t>
      </w:r>
      <w:r>
        <w:rPr>
          <w:i/>
          <w:iCs/>
        </w:rPr>
        <w:t xml:space="preserve">A Unified Approach to Interpreting Model Predictions</w:t>
      </w:r>
      <w:r>
        <w:t xml:space="preserve">. NeurIPS, 2017.</w:t>
      </w:r>
    </w:p>
    <w:p>
      <w:pPr>
        <w:pStyle w:val="Compact"/>
        <w:numPr>
          <w:ilvl w:val="0"/>
          <w:numId w:val="1009"/>
        </w:numPr>
      </w:pPr>
      <w:r>
        <w:t xml:space="preserve">Provost, F.; Fawcett, T.</w:t>
      </w:r>
      <w:r>
        <w:t xml:space="preserve"> </w:t>
      </w:r>
      <w:r>
        <w:rPr>
          <w:i/>
          <w:iCs/>
        </w:rPr>
        <w:t xml:space="preserve">Data Science para Negócios</w:t>
      </w:r>
      <w:r>
        <w:t xml:space="preserve">. Alta Books, 2016.</w:t>
      </w:r>
    </w:p>
    <w:bookmarkEnd w:id="68"/>
    <w:sectPr>
      <w:footnotePr>
        <w:numRestart w:val="eachSect"/>
      </w:footnotePr>
      <w:pgMar w:top="1440" w:bottom="1296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Arial" w:hAnsi="Arial"/>
      <w:b/>
      <w:color w:val="0E6B5C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Arial" w:hAnsi="Arial"/>
      <w:b/>
      <w:color w:val="0E6B5C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Arial" w:hAnsi="Arial"/>
      <w:b/>
      <w:color w:val="0E6B5C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7" Type="http://schemas.openxmlformats.org/officeDocument/2006/relationships/image" Target="media/rId17.png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 — Desafio: Análise Avançada de Dados</dc:title>
  <dc:creator>João Pedro</dc:creator>
  <cp:keywords>manutenção preditiva; telemetria; don't go; LightGBM</cp:keywords>
  <dcterms:created xsi:type="dcterms:W3CDTF">2026-07-06T23:55:45Z</dcterms:created>
  <dcterms:modified xsi:type="dcterms:W3CDTF">2026-07-06T23:55:45Z</dcterms:modified>
  <cp:lastModifiedBy>João Pedro</cp:lastModifiedBy>
  <dc:subject>Antecipação de Alertas Críticos em Frotas de Mineração</dc:subject>
  <cp:category>Programa Desenvolver — Edição 2026</cp:category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