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ulo"/>
      </w:pPr>
      <w:r>
        <w:t xml:space="preserve">Disseminação de Informação em Redes Sociais: uma Análise Topológica do Grafo ego-Twitter</w:t>
      </w:r>
    </w:p>
    <w:p>
      <w:pPr>
        <w:pStyle w:val="Autores"/>
      </w:pPr>
      <w:r>
        <w:rPr>
          <w:highlight w:val="yellow"/>
        </w:rPr>
        <w:t xml:space="preserve">[Nomes dos autores]</w:t>
      </w:r>
    </w:p>
    <w:p>
      <w:pPr>
        <w:pStyle w:val="Afiliacao"/>
      </w:pPr>
      <w:r>
        <w:rPr>
          <w:highlight w:val="yellow"/>
        </w:rPr>
        <w:t xml:space="preserve">[Curso, instituição, cidade e estado]</w:t>
      </w:r>
    </w:p>
    <w:p>
      <w:pPr>
        <w:pStyle w:val="Afiliacao"/>
      </w:pPr>
      <w:r>
        <w:rPr>
          <w:highlight w:val="yellow"/>
        </w:rPr>
        <w:t xml:space="preserve">[e-mails dos autores]</w:t>
      </w:r>
    </w:p>
    <w:p>
      <w:pPr>
        <w:pStyle w:val="Resumo"/>
      </w:pPr>
      <w:r>
        <w:rPr>
          <w:b/>
          <w:bCs/>
          <w:i/>
          <w:iCs/>
        </w:rPr>
        <w:t xml:space="preserve">Abstract. </w:t>
      </w:r>
      <w:r>
        <w:rPr>
          <w:i/>
          <w:iCs/>
          <w:color w:val="808080"/>
        </w:rPr>
        <w:t xml:space="preserve">[A redigir ao final da Fase I (#31).]</w:t>
      </w:r>
    </w:p>
    <w:p>
      <w:pPr>
        <w:pStyle w:val="Resumo"/>
      </w:pPr>
      <w:r>
        <w:rPr>
          <w:b/>
          <w:bCs/>
          <w:i/>
          <w:iCs/>
        </w:rPr>
        <w:t xml:space="preserve">Resumo. </w:t>
      </w:r>
      <w:r>
        <w:rPr>
          <w:i/>
          <w:iCs/>
          <w:color w:val="808080"/>
        </w:rPr>
        <w:t xml:space="preserve">[A redigir ao final da Fase I (#31).]</w:t>
      </w:r>
    </w:p>
    <w:p>
      <w:pPr>
        <w:pStyle w:val="Heading1"/>
      </w:pPr>
      <w:r>
        <w:t xml:space="preserve">1. Introdução</w:t>
      </w:r>
    </w:p>
    <w:p>
      <w:pPr>
        <w:pStyle w:val="Corpo"/>
      </w:pPr>
      <w:r>
        <w:rPr>
          <w:i/>
          <w:iCs/>
          <w:color w:val="808080"/>
        </w:rPr>
        <w:t xml:space="preserve">[A redigir: contexto e perguntas de negócio da Fase I (#5, #31).]</w:t>
      </w:r>
    </w:p>
    <w:p>
      <w:pPr>
        <w:pStyle w:val="Heading1"/>
      </w:pPr>
      <w:r>
        <w:t xml:space="preserve">2. Modelagem do Problema</w:t>
      </w:r>
    </w:p>
    <w:p>
      <w:pPr>
        <w:pStyle w:val="Corpo"/>
      </w:pPr>
      <w:r>
        <w:rPr>
          <w:i/>
          <w:iCs/>
          <w:color w:val="808080"/>
        </w:rPr>
        <w:t xml:space="preserve">[A redigir: o que é vértice, o que é aresta, direcionamento e as três visões do grafo (#31).]</w:t>
      </w:r>
    </w:p>
    <w:p>
      <w:pPr>
        <w:pStyle w:val="Heading1"/>
      </w:pPr>
      <w:r>
        <w:t xml:space="preserve">3. Metodologia</w:t>
      </w:r>
    </w:p>
    <w:p>
      <w:pPr>
        <w:pStyle w:val="Corpo"/>
      </w:pPr>
      <w:r>
        <w:t xml:space="preserve">Os experimentos medem o tempo de execução e o consumo de memória dos seis algoritmos da Fase I — busca em largura (BFS), busca em profundidade iterativa (DFS), componentes conexos, detecção de ciclos, verificação de bipartição e o algoritmo de Tarjan para pontes e vértices de articulação — nas duas representações do grafo: lista e matriz de adjacência. O protocolo descrito nesta seção foi fixado antes da coleta e é seguido sem alteração em todas as execuções, de modo que os resultados da Seção 4 possam ser reproduzidos.</w:t>
      </w:r>
    </w:p>
    <w:p>
      <w:pPr>
        <w:pStyle w:val="Heading2"/>
      </w:pPr>
      <w:r>
        <w:t xml:space="preserve">3.1. Instâncias de teste</w:t>
      </w:r>
    </w:p>
    <w:p>
      <w:pPr>
        <w:pStyle w:val="Corpo"/>
      </w:pPr>
      <w:r>
        <w:t xml:space="preserve">A base é o grafo ego-Twitter [McAuley and Leskovec 2012], com 81.306 vértices e 1.768.135 arestas distintas após o descarte de arestas duplicadas e laços. Dele são extraídos subgrafos com N = 100, 250, 500 e 1.000 vértices, por busca em largura a partir de três vértices-semente sorteados com a semente de gerador 2026. Cada subgrafo é induzido pelos N primeiros vértices descobertos, e a expansão ignora o sentido das arestas para não ficar presa em vértices sem arestas de saída.</w:t>
      </w:r>
    </w:p>
    <w:p>
      <w:pPr>
        <w:pStyle w:val="Corpo"/>
      </w:pPr>
      <w:r>
        <w:t xml:space="preserve">As 12 amostras resultantes (3 sementes × 4 tamanhos) estão versionadas no repositório, em </w:t>
      </w:r>
      <w:r>
        <w:rPr>
          <w:rFonts w:ascii="Courier New" w:cs="Courier New" w:eastAsia="Courier New" w:hAnsi="Courier New"/>
          <w:sz w:val="22"/>
          <w:szCs w:val="22"/>
        </w:rPr>
        <w:t xml:space="preserve">data/samples</w:t>
      </w:r>
      <w:r>
        <w:t xml:space="preserve">, e são regeneradas de forma idêntica pela opção </w:t>
      </w:r>
      <w:r>
        <w:rPr>
          <w:rFonts w:ascii="Courier New" w:cs="Courier New" w:eastAsia="Courier New" w:hAnsi="Courier New"/>
          <w:sz w:val="22"/>
          <w:szCs w:val="22"/>
        </w:rPr>
        <w:t xml:space="preserve">--amostrar</w:t>
      </w:r>
      <w:r>
        <w:t xml:space="preserve"> do programa. O grafo completo é a 13ª instância.</w:t>
      </w:r>
    </w:p>
    <w:p>
      <w:pPr>
        <w:pStyle w:val="Heading2"/>
      </w:pPr>
      <w:r>
        <w:t xml:space="preserve">3.2. Configurações</w:t>
      </w:r>
    </w:p>
    <w:p>
      <w:pPr>
        <w:pStyle w:val="Corpo"/>
      </w:pPr>
      <w:r>
        <w:t xml:space="preserve">Uma configuração é a combinação de uma instância, uma representação e um algoritmo, o que totaliza 13 × 2 × 6 = 156 configurações. Cada algoritmo é executado sobre a visão do grafo definida para ele na Seção 2. Os algoritmos que partem de um vértice de origem usam a semente da própria amostra; no grafo completo, as mesmas três sementes.</w:t>
      </w:r>
    </w:p>
    <w:p>
      <w:pPr>
        <w:pStyle w:val="Corpo"/>
      </w:pPr>
      <w:r>
        <w:t xml:space="preserve">A matriz de adjacência do grafo completo exige 81.306² células: cerca de 6,6 GB a um byte por célula, ou 830 MB a um bit. Essas configurações são executadas mesmo assim e, se a alocação falhar, são registradas como inviáveis. Esse limite é tratado como resultado experimental, e não como falha do protocolo.</w:t>
      </w:r>
    </w:p>
    <w:p>
      <w:pPr>
        <w:pStyle w:val="Heading2"/>
      </w:pPr>
      <w:r>
        <w:t xml:space="preserve">3.3. Repetições e aquecimento</w:t>
      </w:r>
    </w:p>
    <w:p>
      <w:pPr>
        <w:pStyle w:val="Corpo"/>
      </w:pPr>
      <w:r>
        <w:t xml:space="preserve">Cada configuração é executada 11 vezes seguidas. A primeira execução é de aquecimento — o arquivo de entrada passa para o cache do sistema operacional e a frequência do processador se estabiliza — e é descartada. As 10 seguintes são as medições.</w:t>
      </w:r>
    </w:p>
    <w:p>
      <w:pPr>
        <w:pStyle w:val="Corpo"/>
      </w:pPr>
      <w:r>
        <w:t xml:space="preserve">Cada execução é um processo separado do programa. Assim, nenhuma execução herda memória alocada, páginas já carregadas ou estado de outra, e o pico de memória residente informado pelo sistema operacional, que não pode ser zerado dentro de um mesmo processo, corresponde a uma única execução.</w:t>
      </w:r>
    </w:p>
    <w:p>
      <w:pPr>
        <w:pStyle w:val="Heading2"/>
      </w:pPr>
      <w:r>
        <w:t xml:space="preserve">3.4. Medidas</w:t>
      </w:r>
    </w:p>
    <w:p>
      <w:pPr>
        <w:pStyle w:val="Corpo"/>
      </w:pPr>
      <w:r>
        <w:rPr>
          <w:b/>
          <w:bCs/>
        </w:rPr>
        <w:t xml:space="preserve">Tempo.</w:t>
      </w:r>
      <w:r>
        <w:t xml:space="preserve"> Medido com o relógio monotônico do sistema (</w:t>
      </w:r>
      <w:r>
        <w:rPr>
          <w:rFonts w:ascii="Courier New" w:cs="Courier New" w:eastAsia="Courier New" w:hAnsi="Courier New"/>
          <w:sz w:val="22"/>
          <w:szCs w:val="22"/>
        </w:rPr>
        <w:t xml:space="preserve">clock_gettime</w:t>
      </w:r>
      <w:r>
        <w:t xml:space="preserve"> com </w:t>
      </w:r>
      <w:r>
        <w:rPr>
          <w:rFonts w:ascii="Courier New" w:cs="Courier New" w:eastAsia="Courier New" w:hAnsi="Courier New"/>
          <w:sz w:val="22"/>
          <w:szCs w:val="22"/>
        </w:rPr>
        <w:t xml:space="preserve">CLOCK_MONOTONIC</w:t>
      </w:r>
      <w:r>
        <w:t xml:space="preserve">) e expresso em milissegundos. O intervalo cobre apenas a execução do algoritmo: leitura do arquivo, remapeamento de identificadores e construção do grafo ficam fora da medição.</w:t>
      </w:r>
    </w:p>
    <w:p>
      <w:pPr>
        <w:pStyle w:val="Corpo"/>
      </w:pPr>
      <w:r>
        <w:rPr>
          <w:b/>
          <w:bCs/>
        </w:rPr>
        <w:t xml:space="preserve">Memória.</w:t>
      </w:r>
      <w:r>
        <w:t xml:space="preserve"> Toda alocação do programa passa por um contador próprio, que registra os bytes efetivamente pedidos. A medida usada é o pico desse contador entre o início da construção do grafo e o fim do algoritmo, ou seja, a estrutura somada às estruturas auxiliares do algoritmo. Como as estruturas auxiliares são as mesmas nas duas representações, a diferença entre lista e matriz reflete a própria estrutura. A memória residente máxima informada pelo sistema operacional serve apenas como verificação, por incluir o próprio processo.</w:t>
      </w:r>
    </w:p>
    <w:p>
      <w:pPr>
        <w:pStyle w:val="Corpo"/>
      </w:pPr>
      <w:r>
        <w:t xml:space="preserve">Cada execução acrescenta uma linha ao arquivo </w:t>
      </w:r>
      <w:r>
        <w:rPr>
          <w:rFonts w:ascii="Courier New" w:cs="Courier New" w:eastAsia="Courier New" w:hAnsi="Courier New"/>
          <w:sz w:val="22"/>
          <w:szCs w:val="22"/>
        </w:rPr>
        <w:t xml:space="preserve">results/log.csv</w:t>
      </w:r>
      <w:r>
        <w:t xml:space="preserve">, com as colunas timestamp, dataset, N, M, estrutura, algoritmo, tempo em milissegundos, memória em kilobytes e número da execução — a de número 1 é o aquecimento.</w:t>
      </w:r>
    </w:p>
    <w:p>
      <w:pPr>
        <w:pStyle w:val="Heading2"/>
      </w:pPr>
      <w:r>
        <w:t xml:space="preserve">3.5. Tratamento estatístico</w:t>
      </w:r>
    </w:p>
    <w:p>
      <w:pPr>
        <w:pStyle w:val="Corpo"/>
      </w:pPr>
      <w:r>
        <w:t xml:space="preserve">Para cada configuração são calculados a média aritmética e o desvio padrão amostral das 10 medições. Nos gráficos por tamanho de instância, as três sementes de um mesmo N são combinadas, e média e desvio padrão passam a ser calculados sobre as 30 medições.</w:t>
      </w:r>
    </w:p>
    <w:p>
      <w:pPr>
        <w:pStyle w:val="Corpo"/>
      </w:pPr>
      <w:r>
        <w:t xml:space="preserve">Uma configuração com coeficiente de variação acima de 10% tem sua bateria refeita uma vez. Se a variação persistir, o valor é reportado acompanhado dessa observação.</w:t>
      </w:r>
    </w:p>
    <w:p>
      <w:pPr>
        <w:pStyle w:val="Corpo"/>
      </w:pPr>
      <w:r>
        <w:t xml:space="preserve">Nenhum algoritmo entra na bateria antes de passar pelos testes de resultado conhecido do repositório e de produzir resultados idênticos nas duas representações, para que o tempo medido seja o de uma implementação correta.</w:t>
      </w:r>
    </w:p>
    <w:p>
      <w:pPr>
        <w:pStyle w:val="Heading2"/>
      </w:pPr>
      <w:r>
        <w:t xml:space="preserve">3.6. Ambiente de execução</w:t>
      </w:r>
    </w:p>
    <w:p>
      <w:pPr>
        <w:pStyle w:val="Corpo"/>
      </w:pPr>
      <w:r>
        <w:t xml:space="preserve">Todas as execuções são feitas em uma única máquina, descrita na Tabela 1, em uma mesma sessão, sem outros programas pesados abertos e com o perfil de energia de máximo desempenho — em notebooks, ligados à tomada. O programa usa chamadas POSIX para medir tempo e memória e deve ser executado em Linux, macOS ou WSL.</w:t>
      </w:r>
    </w:p>
    <w:p>
      <w:pPr>
        <w:pStyle w:val="Corpo"/>
      </w:pPr>
      <w:r>
        <w:t xml:space="preserve">O código é compilado com gcc e as opções </w:t>
      </w:r>
      <w:r>
        <w:rPr>
          <w:rFonts w:ascii="Courier New" w:cs="Courier New" w:eastAsia="Courier New" w:hAnsi="Courier New"/>
          <w:sz w:val="22"/>
          <w:szCs w:val="22"/>
        </w:rPr>
        <w:t xml:space="preserve">-std=c11 -O2 -Wall -Wextra -pedantic -Werror -D_POSIX_C_SOURCE=200809L</w:t>
      </w:r>
      <w:r>
        <w:t xml:space="preserve">, definidas no Makefile do projeto. A otimização </w:t>
      </w:r>
      <w:r>
        <w:rPr>
          <w:rFonts w:ascii="Courier New" w:cs="Courier New" w:eastAsia="Courier New" w:hAnsi="Courier New"/>
          <w:sz w:val="22"/>
          <w:szCs w:val="22"/>
        </w:rPr>
        <w:t xml:space="preserve">-O2</w:t>
      </w:r>
      <w:r>
        <w:t xml:space="preserve"> faz o tempo medido refletir o algoritmo, e não código sem otimização.</w:t>
      </w:r>
    </w:p>
    <w:p>
      <w:pPr>
        <w:pStyle w:val="Legenda"/>
      </w:pPr>
      <w:r>
        <w:rPr>
          <w:b/>
          <w:bCs/>
        </w:rPr>
        <w:t xml:space="preserve">Tabela 1. Especificação da máquina de testes.</w:t>
      </w:r>
    </w:p>
    <w:tbl>
      <w:tblPr>
        <w:tblW w:type="dxa" w:w="7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rPr>
                <w:b/>
                <w:bCs/>
              </w:rPr>
              <w:t xml:space="preserve">Especificação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t xml:space="preserve">Processador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rPr>
                <w:highlight w:val="yellow"/>
              </w:rPr>
              <w:t xml:space="preserve">[preencher: modelo]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t xml:space="preserve">Núcleos / threads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rPr>
                <w:highlight w:val="yellow"/>
              </w:rPr>
              <w:t xml:space="preserve">[preencher]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t xml:space="preserve">Memória RAM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rPr>
                <w:highlight w:val="yellow"/>
              </w:rPr>
              <w:t xml:space="preserve">[preencher: capacidade]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t xml:space="preserve">Sistema operacional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rPr>
                <w:highlight w:val="yellow"/>
              </w:rPr>
              <w:t xml:space="preserve">[preencher: nome e versão; se WSL, também a versão do Windows]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t xml:space="preserve">Compilador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rPr>
                <w:highlight w:val="yellow"/>
              </w:rPr>
              <w:t xml:space="preserve">[preencher: saída de gcc --version]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t xml:space="preserve">Opções de compilação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-std=c11 -O2 -Wall -Wextra -pedantic -Werror -D_POSIX_C_SOURCE=200809L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t xml:space="preserve">Data da coleta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ela"/>
            </w:pPr>
            <w:r>
              <w:rPr>
                <w:highlight w:val="yellow"/>
              </w:rPr>
              <w:t xml:space="preserve">[preencher]</w:t>
            </w:r>
          </w:p>
        </w:tc>
      </w:tr>
    </w:tbl>
    <w:p>
      <w:pPr>
        <w:pStyle w:val="Heading1"/>
      </w:pPr>
      <w:r>
        <w:t xml:space="preserve">4. Resultados</w:t>
      </w:r>
    </w:p>
    <w:p>
      <w:pPr>
        <w:pStyle w:val="Corpo"/>
      </w:pPr>
      <w:r>
        <w:rPr>
          <w:i/>
          <w:iCs/>
          <w:color w:val="808080"/>
        </w:rPr>
        <w:t xml:space="preserve">[A redigir: resultados parciais da bateria de testes (#27), gráficos (#28) e análise comparativa (#29).]</w:t>
      </w:r>
    </w:p>
    <w:p>
      <w:pPr>
        <w:pStyle w:val="Heading1"/>
      </w:pPr>
      <w:r>
        <w:t xml:space="preserve">5. Conclusão</w:t>
      </w:r>
    </w:p>
    <w:p>
      <w:pPr>
        <w:pStyle w:val="Corpo"/>
      </w:pPr>
      <w:r>
        <w:rPr>
          <w:i/>
          <w:iCs/>
          <w:color w:val="808080"/>
        </w:rPr>
        <w:t xml:space="preserve">[A redigir ao final da Fase I (#31).]</w:t>
      </w:r>
    </w:p>
    <w:p>
      <w:pPr>
        <w:pStyle w:val="Heading1"/>
      </w:pPr>
      <w:r>
        <w:t xml:space="preserve">Referências</w:t>
      </w:r>
    </w:p>
    <w:p>
      <w:pPr>
        <w:pStyle w:val="Referencia"/>
      </w:pPr>
      <w:r>
        <w:t xml:space="preserve">McAuley, J. and Leskovec, J. (2012). Learning to discover social circles in ego networks. In </w:t>
      </w:r>
      <w:r>
        <w:rPr>
          <w:i/>
          <w:iCs/>
        </w:rPr>
        <w:t xml:space="preserve">Advances in Neural Information Processing Systems</w:t>
      </w:r>
      <w:r>
        <w:t xml:space="preserve">, volume 25, pages 539–547.</w:t>
      </w:r>
    </w:p>
    <w:sectPr>
      <w:pgSz w:w="11906" w:h="16838" w:orient="portrait"/>
      <w:pgMar w:top="1985" w:right="1701" w:bottom="1418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Corpo"/>
    <w:qFormat/>
    <w:pPr>
      <w:keepNext/>
      <w:spacing w:after="0" w:before="24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Corpo"/>
    <w:qFormat/>
    <w:pPr>
      <w:keepNext/>
      <w:spacing w:after="0" w:before="2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Corpo">
    <w:name w:val="Corpo"/>
    <w:basedOn w:val="Normal"/>
    <w:qFormat/>
    <w:pPr>
      <w:spacing w:after="0" w:before="120"/>
      <w:ind w:firstLine="720"/>
      <w:jc w:val="both"/>
    </w:pPr>
  </w:style>
  <w:style w:type="paragraph" w:styleId="CorpoSemRecuo">
    <w:name w:val="Corpo sem recuo"/>
    <w:basedOn w:val="Corpo"/>
    <w:pPr>
      <w:ind w:firstLine="0"/>
    </w:pPr>
  </w:style>
  <w:style w:type="paragraph" w:styleId="Titulo">
    <w:name w:val="Título SBC"/>
    <w:basedOn w:val="Normal"/>
    <w:pPr>
      <w:spacing w:after="240" w:before="240"/>
      <w:jc w:val="center"/>
    </w:pPr>
    <w:rPr>
      <w:b/>
      <w:bCs/>
      <w:sz w:val="32"/>
      <w:szCs w:val="32"/>
    </w:rPr>
  </w:style>
  <w:style w:type="paragraph" w:styleId="Autores">
    <w:name w:val="Autores SBC"/>
    <w:basedOn w:val="Normal"/>
    <w:pPr>
      <w:spacing w:after="0" w:before="240"/>
      <w:jc w:val="center"/>
    </w:pPr>
    <w:rPr>
      <w:b/>
      <w:bCs/>
    </w:rPr>
  </w:style>
  <w:style w:type="paragraph" w:styleId="Afiliacao">
    <w:name w:val="Afiliação SBC"/>
    <w:basedOn w:val="Normal"/>
    <w:pPr>
      <w:spacing w:after="0" w:before="120"/>
      <w:jc w:val="center"/>
    </w:pPr>
  </w:style>
  <w:style w:type="paragraph" w:styleId="Resumo">
    <w:name w:val="Resumo SBC"/>
    <w:basedOn w:val="Normal"/>
    <w:pPr>
      <w:spacing w:after="0" w:before="240"/>
      <w:ind w:left="454" w:right="454"/>
      <w:jc w:val="both"/>
    </w:pPr>
    <w:rPr>
      <w:i/>
      <w:iCs/>
    </w:rPr>
  </w:style>
  <w:style w:type="paragraph" w:styleId="Legenda">
    <w:name w:val="Legenda SBC"/>
    <w:basedOn w:val="Normal"/>
    <w:pPr>
      <w:keepNext/>
      <w:spacing w:after="120" w:before="240"/>
      <w:jc w:val="center"/>
    </w:pPr>
    <w:rPr>
      <w:b/>
      <w:bCs/>
      <w:sz w:val="20"/>
      <w:szCs w:val="20"/>
    </w:rPr>
  </w:style>
  <w:style w:type="paragraph" w:styleId="Tabela">
    <w:name w:val="Texto de tabela"/>
    <w:basedOn w:val="Normal"/>
    <w:pPr>
      <w:spacing w:after="0" w:before="0"/>
    </w:pPr>
    <w:rPr>
      <w:sz w:val="20"/>
      <w:szCs w:val="20"/>
    </w:rPr>
  </w:style>
  <w:style w:type="paragraph" w:styleId="Referencia">
    <w:name w:val="Referência SBC"/>
    <w:basedOn w:val="Normal"/>
    <w:pPr>
      <w:spacing w:after="0" w:before="120"/>
      <w:ind w:left="284" w:hanging="284"/>
      <w:jc w:val="both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Artigo SBC — Fase I</dc:title>
  <dc:creator>PI-3B</dc:creator>
  <cp:lastModifiedBy>Un-named</cp:lastModifiedBy>
  <cp:revision>1</cp:revision>
  <dcterms:created xsi:type="dcterms:W3CDTF">2026-10-02T01:16:55.042Z</dcterms:created>
  <dcterms:modified xsi:type="dcterms:W3CDTF">2026-10-02T01:16:55.043Z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