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03 — Memorial descritivo (rascunho) | ETAPA 2</w:t>
      </w:r>
    </w:p>
    <w:p>
      <w:pPr>
        <w:spacing w:line="360" w:lineRule="auto" w:after="120" w:befor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Atenção: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texto para revisão por agente PI. Não protocolar neste estado.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Inventor: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João Pedro Pereira Passos (PF), Palmas/TO. Cotitularidade institucional: PENDENTE de verificação contratual (UFT / Rede BIONORTE / UNITINS).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1. Título (provisório)</w:t>
      </w:r>
    </w:p>
    <w:p>
      <w:pPr>
        <w:spacing w:line="360" w:lineRule="auto" w:after="120" w:befor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Processo de planejamento de caminhos em grafo de layout espacial estável com pré-processamento offline de landmarks geométricos e consultas origem–destino online por busca informada admissível.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2. Campo técnico</w:t>
      </w:r>
    </w:p>
    <w:p>
      <w:pPr>
        <w:spacing w:line="360" w:lineRule="auto" w:after="120" w:befor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invenção candidata situa-se no campo técnico de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sistemas de planejamento de rotas em ambientes industriais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(armazéns, pátios, plantas), implementados em computador, em que um mapa espacial relativamente estável é modelado como grafo e múltiplas consultas origem–destino (O-D) devem ser respondidas com caminhos de custo mínimo (ou custo admissivelmente ótimo), sob restrições de tempo de resposta e de expansão de estados de busca.</w:t>
      </w:r>
    </w:p>
    <w:p>
      <w:pPr>
        <w:spacing w:line="360" w:lineRule="auto" w:after="120" w:befor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Aplicações típicas (não limitativas): apoio a roteamento em corredores de picking; apoio a gestores de frota de veículos/AMR em planta; pré-cálculo auxiliar a WMS —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sem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reivindicar o WMS em si.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3. Estado da técnica (referências nominadas)</w:t>
      </w:r>
    </w:p>
    <w:p>
      <w:pPr>
        <w:spacing w:line="360" w:lineRule="auto" w:after="120" w:befor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Sem prejuízo de busca completa (ver </w:t>
      </w:r>
      <w:r>
        <w:rPr>
          <w:rFonts w:ascii="Courier New" w:hAnsi="Courier New" w:eastAsia="Courier New"/>
          <w:b w:val="0"/>
          <w:i/>
          <w:color w:val="000000"/>
          <w:sz w:val="24"/>
        </w:rPr>
        <w:t>06_protocolo_busca_anterioridade.md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), listam-se referências nominadas do estado da técnica:</w:t>
      </w:r>
    </w:p>
    <w:p>
      <w:pPr>
        <w:spacing w:line="360" w:lineRule="auto" w:after="60" w:befor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Dijkstra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— algoritmo clássico de caminhos mínimos em grafos com pesos não negativos.  </w:t>
      </w:r>
    </w:p>
    <w:p>
      <w:pPr>
        <w:spacing w:line="360" w:lineRule="auto" w:after="60" w:befor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* — busca informada com heurística admissível (Hart, Nilsson, Raphael — literatura clássica).  </w:t>
      </w:r>
    </w:p>
    <w:p>
      <w:pPr>
        <w:spacing w:line="360" w:lineRule="auto" w:after="60" w:befor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Busca bidirecional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— expansão simultânea/alternada a partir de origem e destino.  </w:t>
      </w:r>
    </w:p>
    <w:p>
      <w:pPr>
        <w:spacing w:line="360" w:lineRule="auto" w:after="60" w:befor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ALT / landmarks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— A* com landmarks e desigualdade triangular; ver documento de patente verificável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US7603229B2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(Goldberg; Harrelson) e pedido publicado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US20090228198A1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(seleção de landmarks; Goldberg; Werneck).  </w:t>
      </w:r>
    </w:p>
    <w:p>
      <w:pPr>
        <w:spacing w:line="360" w:lineRule="auto" w:after="60" w:befor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5.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Jump Point Search (JPS)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— Harabor &amp; Grastien (literatura); aplicação a grades; documento de patente específico: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PENDENTE DE BUSCA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 </w:t>
      </w:r>
    </w:p>
    <w:p>
      <w:pPr>
        <w:spacing w:line="360" w:lineRule="auto" w:after="60" w:befor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6.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Contraction hierarchies (CH)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— Geisberger et al. (literatura); documento verificável correlato de roteamento com CH: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US9175972B2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/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EP2757504B1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 </w:t>
      </w:r>
    </w:p>
    <w:p>
      <w:pPr>
        <w:spacing w:line="360" w:lineRule="auto" w:after="60" w:befor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7.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Portais / corredores / abstrações espaciais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— técnicas de redução de grafo por regiões e portas; documento de patente específico: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PENDENTE DE BUSCA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 </w:t>
      </w:r>
    </w:p>
    <w:p>
      <w:pPr>
        <w:spacing w:line="360" w:lineRule="auto" w:after="60" w:befor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8.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Picking / WMS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— sistemas de gerenciamento de armazém e otimização de rotas de coleta; documento de patente específico: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PENDENTE DE BUSCA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 </w:t>
      </w:r>
    </w:p>
    <w:p>
      <w:pPr>
        <w:spacing w:line="360" w:lineRule="auto" w:after="60" w:befor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9.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Gestores de frota AMR / AGV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— roteamento multiagente em planta; documento de patente específico: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PENDENTE DE BUSCA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(ex.: famílias de multi-robot routing — a completar pelo inventor/agente).  </w:t>
      </w:r>
    </w:p>
    <w:p>
      <w:pPr>
        <w:spacing w:line="360" w:lineRule="auto" w:after="60" w:befor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10. Heurísticas geométricas (Manhattan, Euclidean, octile) em mapas de grade — literatura padrão de pathfinding.</w:t>
      </w:r>
    </w:p>
    <w:p>
      <w:pPr>
        <w:spacing w:line="360" w:lineRule="auto" w:after="120" w:befor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Documento de patente: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só citar número se verificável; caso contrário manter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PENDENTE DE BUSCA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4. Problema técnico</w:t>
      </w:r>
    </w:p>
    <w:p>
      <w:pPr>
        <w:spacing w:line="360" w:lineRule="auto" w:after="120" w:befor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Em layouts industriais estáveis, consultas O-D repetidas sobre o mesmo mapa, resolvidas por A* com heurística geométrica fixa (ex. Manhattan), tendem a expandir número elevado de estados, especialmente quando a razão DG = d_grafo / d_Manhattan cresce (corredores longos, obstáculos, desvios). Pré-processamentos clássicos (ALT genérico, CH, JPS) existem, porém a combinação operacional offline/online voltada a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mapa industrial estável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com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landmarks geométricos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(ex. FPS),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tabelas de distância reutilizáveis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e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política de invalidação do prior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quando o layout muda, e com evidência interna de redução de nós/tempo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mantendo otimalidade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 constitui o foco do memorial — sujeito a exame de novidade e atividade inventiva.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5. Proposta (nível memorial — sem detalhe reprodutível de seletor topológico)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5.1 Fase offline</w:t>
      </w:r>
    </w:p>
    <w:p>
      <w:pPr>
        <w:pStyle w:val="ListBullet"/>
        <w:spacing w:line="360" w:lineRule="auto" w:after="60" w:befor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Obter representação do layout como grafo (nós/arestas com custos).  </w:t>
      </w:r>
    </w:p>
    <w:p>
      <w:pPr>
        <w:pStyle w:val="ListBullet"/>
        <w:spacing w:line="360" w:lineRule="auto" w:after="60" w:befor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Calcular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prior estrutural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associado ao mapa.  </w:t>
      </w:r>
    </w:p>
    <w:p>
      <w:pPr>
        <w:pStyle w:val="ListBullet"/>
        <w:spacing w:line="360" w:lineRule="auto" w:after="60" w:befor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Selecionar conjunto de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landmarks geométricos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(exemplo de família: farthest-point sampling — FPS).  </w:t>
      </w:r>
    </w:p>
    <w:p>
      <w:pPr>
        <w:pStyle w:val="ListBullet"/>
        <w:spacing w:line="360" w:lineRule="auto" w:after="60" w:befor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Pré-computar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tabelas de distância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entre nós (ou subconjunto relevante) e landmarks.  </w:t>
      </w:r>
    </w:p>
    <w:p>
      <w:pPr>
        <w:pStyle w:val="ListBullet"/>
        <w:spacing w:line="360" w:lineRule="auto" w:after="60" w:befor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Persistir o prior para reuso.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5.2 Fase online</w:t>
      </w:r>
    </w:p>
    <w:p>
      <w:pPr>
        <w:pStyle w:val="ListBullet"/>
        <w:spacing w:line="360" w:lineRule="auto" w:after="60" w:befor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Receber consulta O-D.  </w:t>
      </w:r>
    </w:p>
    <w:p>
      <w:pPr>
        <w:pStyle w:val="ListBullet"/>
        <w:spacing w:line="360" w:lineRule="auto" w:after="60" w:befor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Executar busca informada do tipo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ALT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(ou equivalente admissível baseado em landmarks + desigualdade triangular).  </w:t>
      </w:r>
    </w:p>
    <w:p>
      <w:pPr>
        <w:pStyle w:val="ListBullet"/>
        <w:spacing w:line="360" w:lineRule="auto" w:after="60" w:befor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Garantir, nos termos da heurística adotada,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admissibilidade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→ otimalidade do caminho retornado (conforme teoria clássica e testes internos).  </w:t>
      </w:r>
    </w:p>
    <w:p>
      <w:pPr>
        <w:pStyle w:val="ListBullet"/>
        <w:spacing w:line="360" w:lineRule="auto" w:after="60" w:befor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Reutilizar o prior enquanto o mapa for válido.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5.3 Invalidação</w:t>
      </w:r>
    </w:p>
    <w:p>
      <w:pPr>
        <w:pStyle w:val="ListBullet"/>
        <w:spacing w:line="360" w:lineRule="auto" w:after="60" w:befor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Se o layout mudar materialmente, invalidar o prior e recomputar offline.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5.4 O que deliberadamente NÃO se descreve aqui com detalhe reprodutível</w:t>
      </w:r>
    </w:p>
    <w:p>
      <w:pPr>
        <w:pStyle w:val="ListBullet"/>
        <w:spacing w:line="360" w:lineRule="auto" w:after="60" w:befor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Algoritmo completo de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seletor topológico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baseado em homologia / Wasserstein / persistência.  </w:t>
      </w:r>
    </w:p>
    <w:p>
      <w:pPr>
        <w:spacing w:line="360" w:lineRule="auto" w:after="120" w:befor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Motivo: (i) não essencial às independentes; (ii) v6/v7 não demonstraram superioridade sobre geométrica; (iii) preservar opção de segredo / dependente opcional.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6. Vantagens alegadas (amarradas a evidência)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Alegação</w:t>
            </w:r>
          </w:p>
        </w:tc>
        <w:tc>
          <w:tcPr>
            <w:tcW w:type="dxa" w:w="2929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Base</w:t>
            </w:r>
          </w:p>
        </w:tc>
        <w:tc>
          <w:tcPr>
            <w:tcW w:type="dxa" w:w="2929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Status</w:t>
            </w:r>
          </w:p>
        </w:tc>
      </w:tr>
      <w:tr>
        <w:tc>
          <w:tcPr>
            <w:tcW w:type="dxa" w:w="292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100% otimalidade em 1000 consultas (v5)</w:t>
            </w:r>
          </w:p>
        </w:tc>
        <w:tc>
          <w:tcPr>
            <w:tcW w:type="dxa" w:w="292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Teste interno inventor</w:t>
            </w:r>
          </w:p>
        </w:tc>
        <w:tc>
          <w:tcPr>
            <w:tcW w:type="dxa" w:w="292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Informado pelo inventor — não é exame INPI</w:t>
            </w:r>
          </w:p>
        </w:tc>
      </w:tr>
      <w:tr>
        <w:tc>
          <w:tcPr>
            <w:tcW w:type="dxa" w:w="292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Variante geométrica reduziu nós e tempo vs A* fixo (v5)</w:t>
            </w:r>
          </w:p>
        </w:tc>
        <w:tc>
          <w:tcPr>
            <w:tcW w:type="dxa" w:w="292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Teste interno</w:t>
            </w:r>
          </w:p>
        </w:tc>
        <w:tc>
          <w:tcPr>
            <w:tcW w:type="dxa" w:w="292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Informado</w:t>
            </w:r>
          </w:p>
        </w:tc>
      </w:tr>
      <w:tr>
        <w:tc>
          <w:tcPr>
            <w:tcW w:type="dxa" w:w="292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Em DG alto, landmarks geométricos vencem A* (v7)</w:t>
            </w:r>
          </w:p>
        </w:tc>
        <w:tc>
          <w:tcPr>
            <w:tcW w:type="dxa" w:w="292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Teste interno</w:t>
            </w:r>
          </w:p>
        </w:tc>
        <w:tc>
          <w:tcPr>
            <w:tcW w:type="dxa" w:w="292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Informado</w:t>
            </w:r>
          </w:p>
        </w:tc>
      </w:tr>
      <w:tr>
        <w:tc>
          <w:tcPr>
            <w:tcW w:type="dxa" w:w="292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Seleção por geradores topológicos não superou FPS (v7)</w:t>
            </w:r>
          </w:p>
        </w:tc>
        <w:tc>
          <w:tcPr>
            <w:tcW w:type="dxa" w:w="292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Teste interno</w:t>
            </w:r>
          </w:p>
        </w:tc>
        <w:tc>
          <w:tcPr>
            <w:tcW w:type="dxa" w:w="292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Informado — desaconselha ênfase TDA</w:t>
            </w:r>
          </w:p>
        </w:tc>
      </w:tr>
      <w:tr>
        <w:tc>
          <w:tcPr>
            <w:tcW w:type="dxa" w:w="292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Variar só beta1 (stretch ~1) sem vantagem topológica (v6)</w:t>
            </w:r>
          </w:p>
        </w:tc>
        <w:tc>
          <w:tcPr>
            <w:tcW w:type="dxa" w:w="292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Teste interno</w:t>
            </w:r>
          </w:p>
        </w:tc>
        <w:tc>
          <w:tcPr>
            <w:tcW w:type="dxa" w:w="292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Informado</w:t>
            </w:r>
          </w:p>
        </w:tc>
      </w:tr>
      <w:tr>
        <w:tc>
          <w:tcPr>
            <w:tcW w:type="dxa" w:w="292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Superioridade em planta real de cliente específico</w:t>
            </w:r>
          </w:p>
        </w:tc>
        <w:tc>
          <w:tcPr>
            <w:tcW w:type="dxa" w:w="292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292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NÃO MEDIDO / não alegar</w:t>
            </w:r>
          </w:p>
        </w:tc>
      </w:tr>
      <w:tr>
        <w:tc>
          <w:tcPr>
            <w:tcW w:type="dxa" w:w="292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Redução de opex / honorários / ROI comercial</w:t>
            </w:r>
          </w:p>
        </w:tc>
        <w:tc>
          <w:tcPr>
            <w:tcW w:type="dxa" w:w="292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292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NÃO usar como efeito técnico</w:t>
            </w:r>
          </w:p>
        </w:tc>
      </w:tr>
    </w:tbl>
    <w:p/>
    <w:p>
      <w:pPr>
        <w:spacing w:line="360" w:lineRule="auto" w:after="120" w:befor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Efeito técnico candidato (não deferido):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menos estados expandidos e/ou menor tempo em consultas repetidas no mesmo mapa, com ótimo intacto nos testes internos.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7. Descrição sumária das figuras</w:t>
      </w:r>
    </w:p>
    <w:p>
      <w:pPr>
        <w:spacing w:line="360" w:lineRule="auto" w:after="120" w:befor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Ver </w:t>
      </w:r>
      <w:r>
        <w:rPr>
          <w:rFonts w:ascii="Courier New" w:hAnsi="Courier New" w:eastAsia="Courier New"/>
          <w:b w:val="0"/>
          <w:i/>
          <w:color w:val="000000"/>
          <w:sz w:val="24"/>
        </w:rPr>
        <w:t>05_resumo_e_figuras.md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(Figuras 1–N: fluxo offline/online; mapa DG alto; amortização; API sem código). Linhas pretas; sem foto de cliente; sem logo.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8. Aplicação industrial</w:t>
      </w:r>
    </w:p>
    <w:p>
      <w:pPr>
        <w:spacing w:line="360" w:lineRule="auto" w:after="120" w:befor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 processo candidato aplica-se a ambientes industriais reais (armazém, pátio, planta) nos quais o layout espacial permanece estável por períodos suficientes para amortizar o pré-processamento offline ao longo de um lote de consultas Q*.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Observações ao agente PI</w:t>
      </w:r>
    </w:p>
    <w:p>
      <w:pPr>
        <w:pStyle w:val="ListBullet"/>
        <w:spacing w:line="360" w:lineRule="auto" w:after="60" w:befor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Risco art. 10 I / 10 V elevado se claims colapsarem para «shortest path + landmarks».  </w:t>
      </w:r>
    </w:p>
    <w:p>
      <w:pPr>
        <w:pStyle w:val="ListBullet"/>
        <w:spacing w:line="360" w:lineRule="auto" w:after="60" w:befor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Risco de obviedade frente a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US7603229B2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e literatura ALT.  </w:t>
      </w:r>
    </w:p>
    <w:p>
      <w:pPr>
        <w:pStyle w:val="ListBullet"/>
        <w:spacing w:line="360" w:lineRule="auto" w:after="60" w:befor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Homologia: no máximo dependente opcional com nota v6/v7.  </w:t>
      </w:r>
    </w:p>
    <w:p>
      <w:pPr>
        <w:pStyle w:val="ListBullet"/>
        <w:spacing w:line="360" w:lineRule="auto" w:after="60" w:befor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Completar estado da técnica com busca executada (arquivo 06).</w:t>
      </w:r>
    </w:p>
    <w:sectPr w:rsidR="00FC693F" w:rsidRPr="0006063C" w:rsidSect="00034616">
      <w:headerReference w:type="default" r:id="rId9"/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6" w:space="4" w:color="666666"/>
      </w:pBdr>
    </w:pPr>
    <w:r>
      <w:rPr>
        <w:rFonts w:ascii="Times New Roman" w:hAnsi="Times New Roman" w:eastAsia="Times New Roman"/>
        <w:b/>
        <w:i w:val="0"/>
        <w:color w:val="000000"/>
        <w:sz w:val="20"/>
      </w:rPr>
      <w:t>RASCUNHO DE TRABALHO — SEM VALOR DE PROTOCOLO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 — Memorial descritivo (rascunho) | ETAPA 2</dc:title>
  <dc:subject>JPDE/INPI — memorial descritivo (rascunho)</dc:subject>
  <dc:creator>João Pedro Pereira Passos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pt-BR</dc:language>
</cp:coreProperties>
</file>