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05 — Resumo e figuras | ETAPA 4</w:t>
      </w:r>
    </w:p>
    <w:p>
      <w:pPr>
        <w:spacing w:line="360" w:lineRule="auto" w:after="160" w:before="0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Autor / Inventor: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João Pedro Pereira Passos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000000"/>
          <w:sz w:val="26"/>
        </w:rPr>
        <w:t>Resumo (≈ 210 palavras)</w:t>
      </w:r>
    </w:p>
    <w:p>
      <w:pPr>
        <w:spacing w:line="360" w:lineRule="auto" w:after="120" w:before="0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Processo implementado em computador para planejamento de caminhos em grafo obtido de layout espacial estável de ambiente industrial (armazém, pátio ou planta). Em fase offline, constrói-se um prior estrutural do grafo, selecionam-se landmarks geométricos — por exemplo mediante amostragem do tipo farthest-point sampling — e pré-computam-se tabelas de distância entre nós e landmarks. Em fase online, consultas origem–destino são atendidas por busca informada do tipo ALT, com heurística admissível baseada em desigualdades triangulares, preservando otimalidade do caminho. O prior é reutilizado em múltiplas consultas enquanto o mapa permanece válido e é invalidado quando o layout sofre alteração material, forçando novo pré-processamento. O efeito técnico candidato, observado em testes internos (versão v5: mil consultas com otimalidade integral; versão v7: vantagem geométrica quando a razão entre distância de grafo e distância de Manhattan cresce), consiste na redução de estados expandidos e/ou do tempo de consulta frente a A* com heurística fixa, sem prejuízo do ótimo. Abordagens topológicas auxiliares foram avaliadas (v6/v7) sem superioridade sobre a seleção geométrica. A matéria destina-se a aplicação industrial em roteamento repetido sobre o mesmo mapa. Este resumo é rascunho e não constitui pedido protocolado.</w:t>
      </w:r>
    </w:p>
    <w:p>
      <w:pPr>
        <w:spacing w:line="360" w:lineRule="auto" w:after="120" w:before="0"/>
      </w:pPr>
      <w:r>
        <w:rPr>
          <w:rFonts w:ascii="Times New Roman" w:hAnsi="Times New Roman" w:eastAsia="Times New Roman"/>
          <w:b w:val="0"/>
          <w:i/>
          <w:color w:val="000000"/>
          <w:sz w:val="20"/>
        </w:rPr>
        <w:t>(Contagem aproximada: 210 palavras.)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000000"/>
          <w:sz w:val="26"/>
        </w:rPr>
        <w:t>Figuras (desenhos técnicos — linhas pretas; sem foto de cliente; sem logo)</w:t>
      </w:r>
    </w:p>
    <w:p>
      <w:pPr>
        <w:spacing w:line="360" w:lineRule="auto" w:after="120" w:before="0"/>
      </w:pPr>
      <w:r>
        <w:rPr>
          <w:rFonts w:ascii="Times New Roman" w:hAnsi="Times New Roman" w:eastAsia="Times New Roman"/>
          <w:b w:val="0"/>
          <w:i/>
          <w:color w:val="000000"/>
          <w:sz w:val="20"/>
        </w:rPr>
        <w:t>Instruções ao desenhista: traço preto em fundo branco; tipografia legível; sem logotipos; sem fotografias de instalações de terceiros; sem dados de cliente. Figuras embutidas conforme «Figuras» do memorial e MANIFEST_figuras.md. Figura 10 (opcional — posicionamento frente ao estado da técnica) não foi solicitada e não está embutida.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Figura 1 — Visão geral offline / online</w:t>
      </w:r>
    </w:p>
    <w:p>
      <w:pPr>
        <w:spacing w:line="360" w:lineRule="auto" w:after="120" w:before="0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Fluxograma em caixas: Entrada do mapa → Grafo → Seleção de landmarks geométricos → Tabelas de distância → Prior persistido → (seta) Consulta O-D → Busca informada tipo ALT → Caminho ótimo. Nota lateral: «invalidação se layout mudar».</w:t>
      </w:r>
    </w:p>
    <w:p>
      <w:pPr>
        <w:spacing w:line="360" w:lineRule="auto" w:after="80" w:before="24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>Figura 1a — Fluxo offline: layout → grafo → seleção de k landmarks geométricos (FPS) → tabelas de distância / prior estrutural.</w:t>
      </w:r>
    </w:p>
    <w:p>
      <w:pPr>
        <w:spacing w:line="360" w:lineRule="auto" w:after="40" w:befor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17950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1_fluxo_offlin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7950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after="200" w:before="0"/>
        <w:jc w:val="center"/>
      </w:pPr>
      <w:r>
        <w:rPr>
          <w:rFonts w:ascii="Times New Roman" w:hAnsi="Times New Roman" w:eastAsia="Times New Roman"/>
          <w:b w:val="0"/>
          <w:i/>
          <w:color w:val="000000"/>
          <w:sz w:val="18"/>
        </w:rPr>
        <w:t>Fonte: elaboração própria.</w:t>
      </w:r>
    </w:p>
    <w:p>
      <w:pPr>
        <w:spacing w:line="360" w:lineRule="auto" w:after="80" w:before="24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>Figura 1b — Fluxo online: consulta O–D → heurística tipo ALT (landmarks) → busca informada → rota; invalidação do prior se o mapa mudar.</w:t>
      </w:r>
    </w:p>
    <w:p>
      <w:pPr>
        <w:spacing w:line="360" w:lineRule="auto" w:after="40" w:befor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321809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2_fluxo_onlin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2180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after="200" w:before="0"/>
        <w:jc w:val="center"/>
      </w:pPr>
      <w:r>
        <w:rPr>
          <w:rFonts w:ascii="Times New Roman" w:hAnsi="Times New Roman" w:eastAsia="Times New Roman"/>
          <w:b w:val="0"/>
          <w:i/>
          <w:color w:val="000000"/>
          <w:sz w:val="18"/>
        </w:rPr>
        <w:t>Fonte: elaboração própria.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Figura 2 — Layout esquemático de armazém (DG ilustrativo)</w:t>
      </w:r>
    </w:p>
    <w:p>
      <w:pPr>
        <w:spacing w:line="360" w:lineRule="auto" w:after="120" w:before="0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Planta esquemática com corredores em «U»/«S», obstáculos retangulares, origem O e destino D. Indicar caminho de grafo vs linha Manhattan. Rótulo: «DG = d_grafo / d_Manhattan elevado».</w:t>
      </w:r>
    </w:p>
    <w:p>
      <w:pPr>
        <w:spacing w:line="360" w:lineRule="auto" w:after="80" w:before="24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>Figura 2 — Esquema de planta com corredor tortuoso; anotação conceitual DG = d_grafo / d_Manhattan.</w:t>
      </w:r>
    </w:p>
    <w:p>
      <w:pPr>
        <w:spacing w:line="360" w:lineRule="auto" w:after="40" w:befor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410381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3_mapa_DG_alt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1038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after="200" w:before="0"/>
        <w:jc w:val="center"/>
      </w:pPr>
      <w:r>
        <w:rPr>
          <w:rFonts w:ascii="Times New Roman" w:hAnsi="Times New Roman" w:eastAsia="Times New Roman"/>
          <w:b w:val="0"/>
          <w:i/>
          <w:color w:val="000000"/>
          <w:sz w:val="18"/>
        </w:rPr>
        <w:t>Fonte: elaboração própria.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Figura 3 — Landmarks geométricos (FPS — esquemático)</w:t>
      </w:r>
    </w:p>
    <w:p>
      <w:pPr>
        <w:spacing w:line="360" w:lineRule="auto" w:after="120" w:before="0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Mesmo layout da Fig. 2 com k pontos marcados como L1…Lk espalhados; sem revelar pseudocódigo.</w:t>
      </w:r>
    </w:p>
    <w:p>
      <w:pPr>
        <w:spacing w:line="360" w:lineRule="auto" w:after="80" w:before="24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>Figura 3 — Landmarks geométricos (FPS): mesma planta esquemática com k landmarks L1…Lk espalhados (farthest-point sampling).</w:t>
      </w:r>
    </w:p>
    <w:p>
      <w:pPr>
        <w:spacing w:line="360" w:lineRule="auto" w:after="40" w:befor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482296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9_landmarks_FP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8229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after="200" w:before="0"/>
        <w:jc w:val="center"/>
      </w:pPr>
      <w:r>
        <w:rPr>
          <w:rFonts w:ascii="Times New Roman" w:hAnsi="Times New Roman" w:eastAsia="Times New Roman"/>
          <w:b w:val="0"/>
          <w:i/>
          <w:color w:val="000000"/>
          <w:sz w:val="18"/>
        </w:rPr>
        <w:t>Fonte: elaboração própria.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Figura 4 — Uso da desigualdade triangular (ALT)</w:t>
      </w:r>
    </w:p>
    <w:p>
      <w:pPr>
        <w:spacing w:line="360" w:lineRule="auto" w:after="120" w:before="0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Diagrama de três pontos: nó u, destino t, landmark L; setas com distâncias pré-computadas; caixa «heurística admissível h(u)».</w:t>
      </w:r>
    </w:p>
    <w:p>
      <w:pPr>
        <w:spacing w:line="360" w:lineRule="auto" w:after="80" w:before="24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>Figura 4 — Desigualdade triangular com landmark (origem–landmark–destino) e admissibilidade da heurística.</w:t>
      </w:r>
    </w:p>
    <w:p>
      <w:pPr>
        <w:spacing w:line="360" w:lineRule="auto" w:after="40" w:befor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362552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6_admissibilidad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6255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after="200" w:before="0"/>
        <w:jc w:val="center"/>
      </w:pPr>
      <w:r>
        <w:rPr>
          <w:rFonts w:ascii="Times New Roman" w:hAnsi="Times New Roman" w:eastAsia="Times New Roman"/>
          <w:b w:val="0"/>
          <w:i/>
          <w:color w:val="000000"/>
          <w:sz w:val="18"/>
        </w:rPr>
        <w:t>Fonte: elaboração própria.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Figura 5 — Comparativo qualitativo de expansão (v5/v7)</w:t>
      </w:r>
    </w:p>
    <w:p>
      <w:pPr>
        <w:spacing w:line="360" w:lineRule="auto" w:after="120" w:before="0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Dois painéis lado a lado: «A* heurística fixa» (nuvem de nós maior) vs «busca com prior de landmarks geométricos» (nuvem menor). Rodapé: «ilustração qualitativa — dados internos v5/v7; não é certificado INPI».</w:t>
      </w:r>
    </w:p>
    <w:p>
      <w:pPr>
        <w:spacing w:line="360" w:lineRule="auto" w:after="80" w:before="24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>Figura 5 — Comparativo qualitativo de expansão: A* heurística fixa (nuvem maior) vs busca com prior de landmarks (nuvem menor); ilustração qualitativa — dados internos v5/v7; não é certificado INPI.</w:t>
      </w:r>
    </w:p>
    <w:p>
      <w:pPr>
        <w:spacing w:line="360" w:lineRule="auto" w:after="40" w:befor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405765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0_expansao_Astar_vs_prior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0576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after="200" w:before="0"/>
        <w:jc w:val="center"/>
      </w:pPr>
      <w:r>
        <w:rPr>
          <w:rFonts w:ascii="Times New Roman" w:hAnsi="Times New Roman" w:eastAsia="Times New Roman"/>
          <w:b w:val="0"/>
          <w:i/>
          <w:color w:val="000000"/>
          <w:sz w:val="18"/>
        </w:rPr>
        <w:t>Fonte: elaboração própria.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Figura 6 — Amortização do pré-processamento (Q*)</w:t>
      </w:r>
    </w:p>
    <w:p>
      <w:pPr>
        <w:spacing w:line="360" w:lineRule="auto" w:after="120" w:before="0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Gráfico esquemático eixo X = número de consultas; eixo Y = custo médio por consulta; curva caindo até patamar; marcar Q* de break-even como «PENDENTE DE MEDIÇÃO em mapa-alvo».</w:t>
      </w:r>
    </w:p>
    <w:p>
      <w:pPr>
        <w:spacing w:line="360" w:lineRule="auto" w:after="80" w:before="24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>Figura 6 — Q* (nº de consultas) vs custo acumulado: curvas conceituais A* fixo vs prior+landmarks (amortização).</w:t>
      </w:r>
    </w:p>
    <w:p>
      <w:pPr>
        <w:spacing w:line="360" w:lineRule="auto" w:after="40" w:befor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3906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4_amortizacao_consulta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90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after="200" w:before="0"/>
        <w:jc w:val="center"/>
      </w:pPr>
      <w:r>
        <w:rPr>
          <w:rFonts w:ascii="Times New Roman" w:hAnsi="Times New Roman" w:eastAsia="Times New Roman"/>
          <w:b w:val="0"/>
          <w:i/>
          <w:color w:val="000000"/>
          <w:sz w:val="18"/>
        </w:rPr>
        <w:t>Fonte: elaboração própria.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Figura 7 — Invalidação do prior</w:t>
      </w:r>
    </w:p>
    <w:p>
      <w:pPr>
        <w:spacing w:line="360" w:lineRule="auto" w:after="120" w:before="0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Diagrama de estados: Prior válido → Evento de mudança de layout → Prior inválido → Reexecução offline → Prior válido.</w:t>
      </w:r>
    </w:p>
    <w:p>
      <w:pPr>
        <w:spacing w:line="360" w:lineRule="auto" w:after="80" w:before="24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>Figura 7 — Diagrama de estados: Prior válido → Evento de mudança de layout → Prior inválido → Reexecução offline → Prior válido.</w:t>
      </w:r>
    </w:p>
    <w:p>
      <w:pPr>
        <w:spacing w:line="360" w:lineRule="auto" w:after="40" w:befor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388683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1_invalidacao_prior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8868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after="200" w:before="0"/>
        <w:jc w:val="center"/>
      </w:pPr>
      <w:r>
        <w:rPr>
          <w:rFonts w:ascii="Times New Roman" w:hAnsi="Times New Roman" w:eastAsia="Times New Roman"/>
          <w:b w:val="0"/>
          <w:i/>
          <w:color w:val="000000"/>
          <w:sz w:val="18"/>
        </w:rPr>
        <w:t>Fonte: elaboração própria.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Figura 8 — Integração lógica (API sem código)</w:t>
      </w:r>
    </w:p>
    <w:p>
      <w:pPr>
        <w:spacing w:line="360" w:lineRule="auto" w:after="120" w:before="0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Caixas: «Cliente de consulta O-D» → «Interface de serviço (sem listar endpoints secretos)» → «Motor offline/online» → «Armazenamento do prior». Proibir listagem de código.</w:t>
      </w:r>
    </w:p>
    <w:p>
      <w:pPr>
        <w:spacing w:line="360" w:lineRule="auto" w:after="80" w:before="24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>Figura 8 — Arquitetura em blocos: Layout | Grafo | Prior | Planner | Rota.</w:t>
      </w:r>
    </w:p>
    <w:p>
      <w:pPr>
        <w:spacing w:line="360" w:lineRule="auto" w:after="40" w:befor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179504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5_api_bloco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7950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after="200" w:before="0"/>
        <w:jc w:val="center"/>
      </w:pPr>
      <w:r>
        <w:rPr>
          <w:rFonts w:ascii="Times New Roman" w:hAnsi="Times New Roman" w:eastAsia="Times New Roman"/>
          <w:b w:val="0"/>
          <w:i/>
          <w:color w:val="000000"/>
          <w:sz w:val="18"/>
        </w:rPr>
        <w:t>Fonte: elaboração própria.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Figura 9 — Fronteira do que não se reivindica como essencial</w:t>
      </w:r>
    </w:p>
    <w:p>
      <w:pPr>
        <w:spacing w:line="360" w:lineRule="auto" w:after="120" w:before="0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Nuvem tracejada «TDA / homologia / Wasserstein / persistência» com carimbo «não essencial — ver nota v6/v7».</w:t>
      </w:r>
    </w:p>
    <w:p>
      <w:pPr>
        <w:spacing w:line="360" w:lineRule="auto" w:after="80" w:before="24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>Figura 9 — Fronteira do que não se reivindica: nuvem tracejada TDA / homologia / Wasserstein / persistência com carimbo «não essencial — ver nota v6/v7».</w:t>
      </w:r>
    </w:p>
    <w:p>
      <w:pPr>
        <w:spacing w:line="360" w:lineRule="auto" w:after="40" w:befor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409271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2_fronteira_TDA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0927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after="200" w:before="0"/>
        <w:jc w:val="center"/>
      </w:pPr>
      <w:r>
        <w:rPr>
          <w:rFonts w:ascii="Times New Roman" w:hAnsi="Times New Roman" w:eastAsia="Times New Roman"/>
          <w:b w:val="0"/>
          <w:i/>
          <w:color w:val="000000"/>
          <w:sz w:val="18"/>
        </w:rPr>
        <w:t>Fonte: elaboração própria.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Figura 10 — (Opcional) Posicionamento frente ao estado da técnica — NÃO EMBUTIDA</w:t>
      </w:r>
    </w:p>
    <w:p>
      <w:pPr>
        <w:spacing w:line="360" w:lineRule="auto" w:after="120" w:before="0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Descrição no rascunho (não solicitada para desenho entregue): tabela visual simples: Dijkstra | A* | ALT | JPS | CH | Presente proposta (offline/online + landmarks geométricos + reuso/invalidação). Sem números de patente inventados na figura.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Status: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opcional não solicitada pelo orquestrador; nenhum PNG de tabela de posicionamento foi inventado ou embutido. (Nota: o arquivo fig10_expansao_Astar_vs_prior.png corresponde à Figura 5 do memorial, conforme MANIFEST, e foi embutido acima.)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000000"/>
          <w:sz w:val="26"/>
        </w:rPr>
        <w:t>Anexo — PNGs entregues não mapeados às Figs. 1–9</w:t>
      </w:r>
    </w:p>
    <w:p>
      <w:pPr>
        <w:spacing w:line="360" w:lineRule="auto" w:after="120" w:before="0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Os seguintes arquivos foram baixados do Drive mas não embutidos neste documento porque não correspondem às Figuras 1–9 da seção «Figuras» do markdown (são auxiliares de processo Trilho A / A–B):</w:t>
      </w:r>
    </w:p>
    <w:p>
      <w:pPr>
        <w:pStyle w:val="ListBullet"/>
        <w:spacing w:line="360" w:lineRule="auto" w:after="60" w:before="0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`fig07_checklist_trilho_A.png` — Não mapeada às Figs. 1–9 do md §Figuras (checklist Trilho A — auxiliar de processo).</w:t>
      </w:r>
    </w:p>
    <w:p>
      <w:pPr>
        <w:pStyle w:val="ListBullet"/>
        <w:spacing w:line="360" w:lineRule="auto" w:after="60" w:before="0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`fig08_trilhos_AB.png` — Não mapeada às Figs. 1–9 do md §Figuras (trilhos A/B — auxiliar de processo).</w:t>
      </w:r>
    </w:p>
    <w:sectPr w:rsidR="00FC693F" w:rsidRPr="0006063C" w:rsidSect="00034616">
      <w:headerReference w:type="default" r:id="rId9"/>
      <w:pgSz w:w="11906" w:h="16838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pBdr>
        <w:bottom w:val="single" w:sz="6" w:space="4" w:color="666666"/>
      </w:pBdr>
    </w:pPr>
    <w:r>
      <w:rPr>
        <w:rFonts w:ascii="Times New Roman" w:hAnsi="Times New Roman" w:eastAsia="Times New Roman"/>
        <w:b/>
        <w:i w:val="0"/>
        <w:color w:val="000000"/>
        <w:sz w:val="20"/>
      </w:rPr>
      <w:t>RASCUNHO DE TRABALHO — SEM VALOR DE PROTOCOLO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05 — Resumo e figuras | ETAPA 4</dc:title>
  <dc:subject>JPDE/INPI — resumo e figuras (rascunho)</dc:subject>
  <dc:creator>João Pedro Pereira Passos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pt-BR</dc:language>
</cp:coreProperties>
</file>