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750B9" w14:textId="5621AE9D" w:rsidR="00D82B80" w:rsidRPr="00623F55" w:rsidRDefault="002C136A" w:rsidP="00C03EF2">
      <w:pPr>
        <w:jc w:val="both"/>
        <w:rPr>
          <w:rFonts w:ascii="Times New Roman" w:hAnsi="Times New Roman" w:cs="Times New Roman"/>
        </w:rPr>
      </w:pPr>
      <w:r w:rsidRPr="00623F55">
        <w:rPr>
          <w:rFonts w:ascii="Times New Roman" w:hAnsi="Times New Roman" w:cs="Times New Roman"/>
        </w:rPr>
        <w:t>Questão 1)</w:t>
      </w:r>
    </w:p>
    <w:p w14:paraId="017171EF" w14:textId="5C3B6D37" w:rsidR="00030BCA" w:rsidRPr="00623F55" w:rsidRDefault="00030BCA" w:rsidP="00C03EF2">
      <w:pPr>
        <w:pStyle w:val="NormalWeb"/>
        <w:jc w:val="both"/>
      </w:pPr>
      <w:r w:rsidRPr="00623F55">
        <w:t>As finanças públicas funcionam como um sistema interdependente, onde contabilidade, auditoria, administração e economia se articulam de forma contínua. A contabilidade é a base de tudo</w:t>
      </w:r>
      <w:r w:rsidRPr="00623F55">
        <w:t>.</w:t>
      </w:r>
      <w:r w:rsidRPr="00623F55">
        <w:t xml:space="preserve"> </w:t>
      </w:r>
      <w:r w:rsidRPr="00623F55">
        <w:t>S</w:t>
      </w:r>
      <w:r w:rsidRPr="00623F55">
        <w:t>em registros confiáveis de receitas, despesas e patrimônio, nenhuma análise ou decisão é possível. No Brasil, essa base é estruturada pelas NBC TSP, alinhadas às normas internacionais IPSAS. Sobre ela, a auditoria atua verificando legalidade, fidedignidade e efetividade do gasto</w:t>
      </w:r>
      <w:r w:rsidRPr="00623F55">
        <w:t>,</w:t>
      </w:r>
      <w:r w:rsidRPr="00623F55">
        <w:t xml:space="preserve"> papel exercido no Brasil pelos Tribunais de Contas e pela CGU. A administração pública, por sua vez, usa essas informações para gerenciar recursos e entregar resultados, orientação que ganhou forma com a reforma gerencial do PDRAE (1995) e com Bresser-Pereira, que substituiu o foco no processo pelo foco em resultados. A economia fecha o ciclo, fornecendo o arcabouço analítico para avaliar impactos, diagnosticar desequilíbrios e orientar decisões de política fiscal.</w:t>
      </w:r>
    </w:p>
    <w:p w14:paraId="782C8EF9" w14:textId="77777777" w:rsidR="00030BCA" w:rsidRPr="00623F55" w:rsidRDefault="00030BCA" w:rsidP="00C03EF2">
      <w:pPr>
        <w:pStyle w:val="NormalWeb"/>
        <w:jc w:val="both"/>
      </w:pPr>
      <w:r w:rsidRPr="00623F55">
        <w:t>No federalismo brasileiro, essa articulação se replica em três níveis de governo simultaneamente. A Lei de Responsabilidade Fiscal materializa essa integração ao impor obrigações contábeis padronizadas, submeter os entes ao controle dos Tribunais de Contas e estabelecer limites fiscais com fundamento econômico. Na Espanha, estrutura semelhante existe com as Comunidades Autônomas, com uma camada adicional: a supervisão supranacional do Eurostat e o Pacto de Estabilidade e Crescimento da União Europeia.</w:t>
      </w:r>
    </w:p>
    <w:p w14:paraId="6075ECA7" w14:textId="0CA8CA3D" w:rsidR="00030BCA" w:rsidRPr="00623F55" w:rsidRDefault="00030BCA" w:rsidP="00C03EF2">
      <w:pPr>
        <w:pStyle w:val="NormalWeb"/>
        <w:jc w:val="both"/>
      </w:pPr>
      <w:r w:rsidRPr="00623F55">
        <w:t xml:space="preserve">O resultado fiscal </w:t>
      </w:r>
      <w:r w:rsidRPr="00623F55">
        <w:t>(</w:t>
      </w:r>
      <w:r w:rsidRPr="00623F55">
        <w:t>diferença entre receitas e despesas em valores reais</w:t>
      </w:r>
      <w:r w:rsidRPr="00623F55">
        <w:t>)</w:t>
      </w:r>
      <w:r w:rsidRPr="00623F55">
        <w:t xml:space="preserve"> é o indicador que melhor sintetiza essa articulação na prática. Maceió manteve resultado positivo ao longo de todo o período, chegando a R$ 346,9 milhões em 2022 (valores reais, base 2022). Contudo, esse equilíbrio é estruturalmente frágil, sustentado majoritariamente por transferências correntes federais</w:t>
      </w:r>
      <w:r w:rsidR="006F114E" w:rsidRPr="00623F55">
        <w:t xml:space="preserve">, ou seja, </w:t>
      </w:r>
      <w:r w:rsidRPr="00623F55">
        <w:t>o município não gera receita própria suficiente para se manter sem repasses do FPM e do SUS, o que evidencia falha tanto na administração tributária local quanto nas limitações econômicas da base formal de Maceió. Duque de Caxias apresenta comportamento mais volátil: registrou déficit de R$ 214,8 milhões em 2016, reflexo direto da crise fiscal do estado do Rio de Janeiro que comprimiu transferências do ICMS, e voltou ao déficit em 2022 (-R$ 137,1 milhões), mesmo com receitas crescendo, indicando expansão de despesas</w:t>
      </w:r>
      <w:r w:rsidR="006F114E" w:rsidRPr="00623F55">
        <w:t>,</w:t>
      </w:r>
      <w:r w:rsidRPr="00623F55">
        <w:t xml:space="preserve"> especialmente saúde, que mais que dobrou em termos reais entre 2013 e 2022 sem controle administrativo proporcional.</w:t>
      </w:r>
    </w:p>
    <w:p w14:paraId="2704B456" w14:textId="77777777" w:rsidR="00030BCA" w:rsidRPr="00623F55" w:rsidRDefault="00030BCA" w:rsidP="00C03EF2">
      <w:pPr>
        <w:pStyle w:val="NormalWeb"/>
        <w:jc w:val="both"/>
      </w:pPr>
      <w:r w:rsidRPr="00623F55">
        <w:t>A Espanha, por sua vez, operou com déficit durante todo o período, mas com trajetória de consolidação clara: o déficit real recuou de €88,8 bilhões em 2013 para €42,6 bilhões em 2019, resultado da combinação entre disciplina administrativa nas Comunidades Autônomas, controle externo reforçado e coordenação econômica no âmbito do Semestre Europeu. A pandemia reverteu parcialmente esse avanço, elevando o déficit novamente em 2020, com recuperação gradual até 2022.</w:t>
      </w:r>
    </w:p>
    <w:p w14:paraId="7A870FC5" w14:textId="0ACBE2BA" w:rsidR="00030BCA" w:rsidRPr="00623F55" w:rsidRDefault="00030BCA" w:rsidP="00C03EF2">
      <w:pPr>
        <w:pStyle w:val="NormalWeb"/>
        <w:jc w:val="both"/>
      </w:pPr>
      <w:r w:rsidRPr="00623F55">
        <w:t xml:space="preserve">A análise comparativa revela uma assimetria institucional importante: a Espanha conta com camadas sobrepostas de controle </w:t>
      </w:r>
      <w:r w:rsidR="006F114E" w:rsidRPr="00623F55">
        <w:t>(</w:t>
      </w:r>
      <w:r w:rsidRPr="00623F55">
        <w:t>nacional e supranacional</w:t>
      </w:r>
      <w:r w:rsidR="006F114E" w:rsidRPr="00623F55">
        <w:t>)</w:t>
      </w:r>
      <w:r w:rsidRPr="00623F55">
        <w:t>, enquanto os municípios brasileiros dependem de Tribunais de Contas com capacidades técnicas heterogêneas. Bresser-Pereira já apontava que a reforma gerencial brasileira ficou incompleta</w:t>
      </w:r>
      <w:r w:rsidR="006F114E" w:rsidRPr="00623F55">
        <w:t xml:space="preserve">, </w:t>
      </w:r>
      <w:r w:rsidRPr="00623F55">
        <w:t>avançou nos instrumentos formais, mas não transformou a cultura administrativa. O resultado é um sistema que registra bem, audita parcialmente e ainda gerencia com foco excessivo no processo, em detrimento dos resultados.</w:t>
      </w:r>
    </w:p>
    <w:p w14:paraId="637B7AB1" w14:textId="0D0F92EE" w:rsidR="00030BCA" w:rsidRPr="00623F55" w:rsidRDefault="00030BCA" w:rsidP="00C03EF2">
      <w:pPr>
        <w:pStyle w:val="NormalWeb"/>
        <w:jc w:val="both"/>
      </w:pPr>
      <w:r w:rsidRPr="00623F55">
        <w:lastRenderedPageBreak/>
        <w:t>Fontes:</w:t>
      </w:r>
    </w:p>
    <w:p w14:paraId="131ECA0C" w14:textId="6240E76B" w:rsidR="00030BCA" w:rsidRPr="00623F55" w:rsidRDefault="00030BCA" w:rsidP="00C03EF2">
      <w:pPr>
        <w:pStyle w:val="NormalWeb"/>
        <w:jc w:val="both"/>
      </w:pPr>
      <w:r w:rsidRPr="00623F55">
        <w:t xml:space="preserve">SICONFI/FINBRA — STN: </w:t>
      </w:r>
      <w:hyperlink r:id="rId5" w:history="1">
        <w:r w:rsidR="006F114E" w:rsidRPr="00623F55">
          <w:rPr>
            <w:rStyle w:val="Hyperlink"/>
          </w:rPr>
          <w:t>https://siconfi.tesouro.gov.br/siconfi/pages/public/consulta_finbra/finbra_list.jsf</w:t>
        </w:r>
      </w:hyperlink>
    </w:p>
    <w:p w14:paraId="1F39D77F" w14:textId="3DDD2024" w:rsidR="00030BCA" w:rsidRPr="00623F55" w:rsidRDefault="00030BCA" w:rsidP="00C03EF2">
      <w:pPr>
        <w:pStyle w:val="NormalWeb"/>
        <w:jc w:val="both"/>
      </w:pPr>
      <w:r w:rsidRPr="00623F55">
        <w:t xml:space="preserve">Eurostat — gov_10a_main: </w:t>
      </w:r>
      <w:hyperlink r:id="rId6" w:history="1">
        <w:r w:rsidR="006F114E" w:rsidRPr="00623F55">
          <w:rPr>
            <w:rStyle w:val="Hyperlink"/>
          </w:rPr>
          <w:t>https://ec.europa.eu/eurostat/databrowser/view/gov_10a_main/default/table</w:t>
        </w:r>
      </w:hyperlink>
    </w:p>
    <w:p w14:paraId="090CF244" w14:textId="6864CC2B" w:rsidR="00030BCA" w:rsidRPr="00623F55" w:rsidRDefault="00030BCA" w:rsidP="00C03EF2">
      <w:pPr>
        <w:pStyle w:val="NormalWeb"/>
        <w:jc w:val="both"/>
      </w:pPr>
      <w:r w:rsidRPr="00623F55">
        <w:t xml:space="preserve">LRF — Lei Complementar 101/2000: </w:t>
      </w:r>
      <w:hyperlink r:id="rId7" w:history="1">
        <w:r w:rsidR="006F114E" w:rsidRPr="00623F55">
          <w:rPr>
            <w:rStyle w:val="Hyperlink"/>
          </w:rPr>
          <w:t>https://www.planalto.gov.br/ccivil_03/leis/lcp/lcp101.htm</w:t>
        </w:r>
      </w:hyperlink>
    </w:p>
    <w:p w14:paraId="65348EEE" w14:textId="47DDADE9" w:rsidR="002C136A" w:rsidRPr="00623F55" w:rsidRDefault="00030BCA" w:rsidP="00C03EF2">
      <w:pPr>
        <w:pStyle w:val="NormalWeb"/>
        <w:jc w:val="both"/>
      </w:pPr>
      <w:r w:rsidRPr="00623F55">
        <w:t xml:space="preserve">PDRAE (1995): </w:t>
      </w:r>
      <w:hyperlink r:id="rId8" w:history="1">
        <w:r w:rsidR="006F114E" w:rsidRPr="00623F55">
          <w:rPr>
            <w:rStyle w:val="Hyperlink"/>
          </w:rPr>
          <w:t>https://www.biblioteca.presidencia.gov.br/publicacoes-oficiais/catalogo/fhc/plano-diretor-da-reforma-do-aparelho-do-estado-1995.pdf</w:t>
        </w:r>
      </w:hyperlink>
    </w:p>
    <w:p w14:paraId="1E658C7A" w14:textId="38CAED14" w:rsidR="00AE2F6B" w:rsidRPr="00623F55" w:rsidRDefault="00AE2F6B" w:rsidP="00C03EF2">
      <w:pPr>
        <w:pStyle w:val="NormalWeb"/>
        <w:jc w:val="both"/>
      </w:pPr>
    </w:p>
    <w:p w14:paraId="0FDFD3C7" w14:textId="77777777" w:rsidR="00E00201" w:rsidRPr="00623F55" w:rsidRDefault="00AE2F6B" w:rsidP="00C03EF2">
      <w:pPr>
        <w:pStyle w:val="NormalWeb"/>
        <w:jc w:val="both"/>
      </w:pPr>
      <w:r w:rsidRPr="00623F55">
        <w:t xml:space="preserve">Questão 2) </w:t>
      </w:r>
      <w:r w:rsidRPr="00623F55">
        <w:br/>
      </w:r>
      <w:r w:rsidRPr="00623F55">
        <w:br/>
      </w:r>
      <w:r w:rsidR="00E00201" w:rsidRPr="00623F55">
        <w:t>(i) Forma de Estado</w:t>
      </w:r>
    </w:p>
    <w:p w14:paraId="18CC3011" w14:textId="77777777" w:rsidR="00E00201" w:rsidRPr="00623F55" w:rsidRDefault="00E00201" w:rsidP="00C03EF2">
      <w:pPr>
        <w:pStyle w:val="NormalWeb"/>
        <w:jc w:val="both"/>
      </w:pPr>
      <w:r w:rsidRPr="00623F55">
        <w:t>A Espanha é um Estado unitário descentralizado, organizado em 17 Comunidades Autônomas com amplas competências legislativas e executivas próprias. Não se trata de uma federação formal, mas o grau de descentralização fiscal é comparável ao de países federais, o que gera tensões permanentes entre autonomia de gasto e dependência de transferências do governo central. As Comunidades Autônomas respondem por cerca de 35% do gasto público total, concentrando responsabilidades sobre saúde, educação e serviços sociais.</w:t>
      </w:r>
    </w:p>
    <w:p w14:paraId="6C5CCD8C" w14:textId="77777777" w:rsidR="00E00201" w:rsidRPr="00623F55" w:rsidRDefault="00E00201" w:rsidP="00C03EF2">
      <w:pPr>
        <w:pStyle w:val="NormalWeb"/>
        <w:jc w:val="both"/>
      </w:pPr>
      <w:r w:rsidRPr="00623F55">
        <w:t>(ii) Forma de Governo</w:t>
      </w:r>
    </w:p>
    <w:p w14:paraId="3F4657BD" w14:textId="77777777" w:rsidR="00E00201" w:rsidRPr="00623F55" w:rsidRDefault="00E00201" w:rsidP="00C03EF2">
      <w:pPr>
        <w:pStyle w:val="NormalWeb"/>
        <w:jc w:val="both"/>
      </w:pPr>
      <w:r w:rsidRPr="00623F55">
        <w:t>A forma de governo é a monarquia constitucional parlamentar, com o Rei exercendo função predominantemente simbólica e arbitral, conforme o Artigo 56 da Constituição Espanhola de 1978. O Rei não interfere diretamente nas decisões fiscais ou orçamentárias, cabendo ao Presidente do Governo e ao Congresso dos Deputados a condução da política econômica.</w:t>
      </w:r>
    </w:p>
    <w:p w14:paraId="08A0CC73" w14:textId="77777777" w:rsidR="00E00201" w:rsidRPr="00623F55" w:rsidRDefault="00E00201" w:rsidP="00C03EF2">
      <w:pPr>
        <w:pStyle w:val="NormalWeb"/>
        <w:jc w:val="both"/>
      </w:pPr>
      <w:r w:rsidRPr="00623F55">
        <w:t>(iii) Regime de Governo</w:t>
      </w:r>
    </w:p>
    <w:p w14:paraId="1BD002A4" w14:textId="77777777" w:rsidR="00E00201" w:rsidRPr="00623F55" w:rsidRDefault="00E00201" w:rsidP="00C03EF2">
      <w:pPr>
        <w:pStyle w:val="NormalWeb"/>
        <w:jc w:val="both"/>
      </w:pPr>
      <w:r w:rsidRPr="00623F55">
        <w:t>O regime de governo é a democracia representativa consolidada, integrada à União Europeia desde 1986 e submetida ao Pacto de Estabilidade e Crescimento (PEC) e ao Semestre Europeu de coordenação fiscal. Essa vinculação ao arcabouço europeu impõe tetos de déficit (3% do PIB) e dívida (60% do PIB) que funcionam como âncora fiscal externa, disciplinando o gasto de forma que mecanismos estritamente domésticos raramente conseguiriam garantir.</w:t>
      </w:r>
    </w:p>
    <w:p w14:paraId="1601FD29" w14:textId="77777777" w:rsidR="00E00201" w:rsidRPr="00623F55" w:rsidRDefault="00E00201" w:rsidP="00C03EF2">
      <w:pPr>
        <w:pStyle w:val="NormalWeb"/>
        <w:jc w:val="both"/>
      </w:pPr>
      <w:r w:rsidRPr="00623F55">
        <w:t>(iv) Sistema de Governo</w:t>
      </w:r>
    </w:p>
    <w:p w14:paraId="6559CE7B" w14:textId="77777777" w:rsidR="00E00201" w:rsidRPr="00623F55" w:rsidRDefault="00E00201" w:rsidP="00C03EF2">
      <w:pPr>
        <w:pStyle w:val="NormalWeb"/>
        <w:jc w:val="both"/>
      </w:pPr>
      <w:r w:rsidRPr="00623F55">
        <w:t xml:space="preserve">O sistema de governo é o parlamentarismo, com o Presidente do Governo eleito pelo Congresso dos Deputados e dependente de sua confiança continuada. O sistema parlamentar multipartidário produziu instabilidade orçamentária relevante no período </w:t>
      </w:r>
      <w:r w:rsidRPr="00623F55">
        <w:lastRenderedPageBreak/>
        <w:t>analisado: entre 2015 e 2020 a Espanha operou com governos em minoria e chegou a ficar três anos consecutivos sem orçamento aprovado (2018, 2019 e 2020), limitando a capacidade de ajuste fiscal discricionário.</w:t>
      </w:r>
    </w:p>
    <w:p w14:paraId="4153348D" w14:textId="77777777" w:rsidR="00E00201" w:rsidRPr="00623F55" w:rsidRDefault="00E00201" w:rsidP="00C03EF2">
      <w:pPr>
        <w:pStyle w:val="NormalWeb"/>
        <w:jc w:val="both"/>
      </w:pPr>
      <w:r w:rsidRPr="00623F55">
        <w:t>Impacto no financiamento e gestão das políticas públicas</w:t>
      </w:r>
    </w:p>
    <w:p w14:paraId="3013E655" w14:textId="77777777" w:rsidR="00E00201" w:rsidRPr="00623F55" w:rsidRDefault="00E00201" w:rsidP="00C03EF2">
      <w:pPr>
        <w:pStyle w:val="NormalWeb"/>
        <w:jc w:val="both"/>
      </w:pPr>
      <w:r w:rsidRPr="00623F55">
        <w:t>A combinação dessas quatro características institucionais explica em grande medida a dinâmica fiscal espanhola do período 2013,2022. O modelo autonômico pressiona o gasto pelo lado das despesas, o parlamentarismo fragmentado dificulta o ajuste pelo lado político, e o regime democrático vinculado à UE impõe a disciplina que os mecanismos internos sozinhos não garantiriam. É uma combinação que produz déficits persistentes, mas evita colapsos fiscais.</w:t>
      </w:r>
    </w:p>
    <w:p w14:paraId="06780DF2" w14:textId="77777777" w:rsidR="00E00201" w:rsidRPr="00623F55" w:rsidRDefault="00E00201" w:rsidP="00C03EF2">
      <w:pPr>
        <w:pStyle w:val="NormalWeb"/>
        <w:jc w:val="both"/>
      </w:pPr>
      <w:r w:rsidRPr="00623F55">
        <w:t>O indicador mais revelador dessa dinâmica é a trajetória do resultado fiscal e da dívida bruta em valores reais (euros de 2022). A Espanha saiu de um déficit real de €88,8 bilhões em 2013 para €42,6 bilhões em 2019, consolidação viabilizada pela pressão europeia via Procedimento de Déficit Excessivo, ao qual esteve submetida de 2009 a 2019. A pandemia reverteu parcialmente esse avanço, elevando o equilíbrio estrutural para (€61,7 bilhões reais em 2020), com recuperação gradual até os (€60,3 bilhões) registrados em 2022. A dívida bruta, por sua vez, saiu de €1,186 trilhão real em 2013, chegou a €1,512 trilhão em 2020 e recuou levemente para €1,502 trilhão em 2022, ainda muito acima do teto europeu de 60% do PIB.</w:t>
      </w:r>
    </w:p>
    <w:p w14:paraId="7E560E76" w14:textId="77777777" w:rsidR="00E00201" w:rsidRPr="00623F55" w:rsidRDefault="00E00201" w:rsidP="00C03EF2">
      <w:pPr>
        <w:pStyle w:val="NormalWeb"/>
        <w:jc w:val="both"/>
      </w:pPr>
      <w:r w:rsidRPr="00623F55">
        <w:t>Esse comportamento evidencia como a forma de Estado descentralizado pressiona o gasto, o sistema parlamentar fragmentado dificulta o ajuste, e o regime democrático vinculado à UE impõe a disciplina que os mecanismos internos sozinhos não garantiriam.</w:t>
      </w:r>
    </w:p>
    <w:p w14:paraId="77A2B02E" w14:textId="29BE231E" w:rsidR="006F114E" w:rsidRPr="00623F55" w:rsidRDefault="00B26FDB" w:rsidP="00C03EF2">
      <w:pPr>
        <w:pStyle w:val="NormalWeb"/>
        <w:jc w:val="both"/>
      </w:pPr>
      <w:r w:rsidRPr="00623F55">
        <w:rPr>
          <w:noProof/>
        </w:rPr>
        <w:drawing>
          <wp:inline distT="0" distB="0" distL="0" distR="0" wp14:anchorId="5D321F3E" wp14:editId="0ABE49C9">
            <wp:extent cx="5219700" cy="3333750"/>
            <wp:effectExtent l="0" t="0" r="0" b="0"/>
            <wp:docPr id="1" name="Gráfico 1">
              <a:extLst xmlns:a="http://schemas.openxmlformats.org/drawingml/2006/main">
                <a:ext uri="{FF2B5EF4-FFF2-40B4-BE49-F238E27FC236}">
                  <a16:creationId xmlns:a16="http://schemas.microsoft.com/office/drawing/2014/main" id="{62BE0E9E-BEDC-47C8-AFBD-7694A8A30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7B1ADD" w14:textId="5FD2A752" w:rsidR="00E00201" w:rsidRPr="00623F55" w:rsidRDefault="00E00201" w:rsidP="00C03EF2">
      <w:pPr>
        <w:pStyle w:val="NormalWeb"/>
        <w:jc w:val="both"/>
      </w:pPr>
      <w:r w:rsidRPr="00623F55">
        <w:t>Fontes:</w:t>
      </w:r>
    </w:p>
    <w:p w14:paraId="77C27789" w14:textId="6E7207C8" w:rsidR="00E00201" w:rsidRPr="00623F55" w:rsidRDefault="00E00201" w:rsidP="00C03EF2">
      <w:pPr>
        <w:pStyle w:val="NormalWeb"/>
        <w:jc w:val="both"/>
      </w:pPr>
      <w:r w:rsidRPr="00623F55">
        <w:lastRenderedPageBreak/>
        <w:t xml:space="preserve">Eurostat, gov_10a_main: </w:t>
      </w:r>
      <w:hyperlink r:id="rId10" w:history="1">
        <w:r w:rsidRPr="00623F55">
          <w:rPr>
            <w:rStyle w:val="Hyperlink"/>
          </w:rPr>
          <w:t>https://ec.europa.eu/eurostat/databrowser/view/gov_10a_main/default/table</w:t>
        </w:r>
      </w:hyperlink>
    </w:p>
    <w:p w14:paraId="7A70BF39" w14:textId="03B5B866" w:rsidR="00E00201" w:rsidRPr="00623F55" w:rsidRDefault="00E00201" w:rsidP="00C03EF2">
      <w:pPr>
        <w:pStyle w:val="NormalWeb"/>
        <w:jc w:val="both"/>
      </w:pPr>
      <w:r w:rsidRPr="00623F55">
        <w:t xml:space="preserve">Constituição Espanhola de 1978: </w:t>
      </w:r>
      <w:hyperlink r:id="rId11" w:history="1">
        <w:r w:rsidRPr="00623F55">
          <w:rPr>
            <w:rStyle w:val="Hyperlink"/>
          </w:rPr>
          <w:t>https://www.boe.es/eli/es/c/1978/12/27/(1)/con</w:t>
        </w:r>
      </w:hyperlink>
    </w:p>
    <w:p w14:paraId="744EE31A" w14:textId="269541D4" w:rsidR="00E00201" w:rsidRPr="00623F55" w:rsidRDefault="00E00201" w:rsidP="00C03EF2">
      <w:pPr>
        <w:pStyle w:val="NormalWeb"/>
        <w:jc w:val="both"/>
      </w:pPr>
      <w:r w:rsidRPr="00623F55">
        <w:t xml:space="preserve">Pacto de Estabilidade e Crescimento (PEC): </w:t>
      </w:r>
      <w:hyperlink r:id="rId12" w:history="1">
        <w:r w:rsidRPr="00623F55">
          <w:rPr>
            <w:rStyle w:val="Hyperlink"/>
          </w:rPr>
          <w:t>https://economy-finance.ec.europa.eu/economic-and-fiscal-governance/stability-and-growth-pact_en</w:t>
        </w:r>
      </w:hyperlink>
    </w:p>
    <w:p w14:paraId="009028A7" w14:textId="7FA0CE57" w:rsidR="00E00201" w:rsidRPr="00623F55" w:rsidRDefault="00E00201" w:rsidP="00C03EF2">
      <w:pPr>
        <w:pStyle w:val="NormalWeb"/>
        <w:jc w:val="both"/>
      </w:pPr>
    </w:p>
    <w:p w14:paraId="24D4F1C4" w14:textId="77777777" w:rsidR="001B0A56" w:rsidRPr="00623F55" w:rsidRDefault="00E00201" w:rsidP="00C03EF2">
      <w:pPr>
        <w:pStyle w:val="NormalWeb"/>
        <w:jc w:val="both"/>
      </w:pPr>
      <w:r w:rsidRPr="00623F55">
        <w:t>Questão 3)</w:t>
      </w:r>
      <w:r w:rsidRPr="00623F55">
        <w:br/>
      </w:r>
      <w:r w:rsidRPr="00623F55">
        <w:br/>
      </w:r>
      <w:r w:rsidR="001B0A56" w:rsidRPr="00623F55">
        <w:t>A receita municipal brasileira se organiza em três grandes blocos: a receita tributária própria (impostos e taxas arrecadados diretamente pelo município, como ISS, IPTU e ITBI), as transferências correntes (recursos repassados pela União e pelo estado, como FPM, cota-parte do ICMS, FUNDEB e repasses do SUS) e as demais receitas correntes (patrimoniais, de serviços, multas etc.). Essa estrutura revela imediatamente o grau de autonomia fiscal de cada município: quanto maior a participação da receita própria, mais independente é o ente em relação às decisões dos outros níveis de governo.</w:t>
      </w:r>
    </w:p>
    <w:p w14:paraId="184BA6CD" w14:textId="77777777" w:rsidR="001B0A56" w:rsidRPr="00623F55" w:rsidRDefault="001B0A56" w:rsidP="00C03EF2">
      <w:pPr>
        <w:pStyle w:val="NormalWeb"/>
        <w:jc w:val="both"/>
      </w:pPr>
      <w:r w:rsidRPr="00623F55">
        <w:t>Maceió arrecadou R$ 1,584 bilhão em receitas correntes em 2013 (valores nominais), chegando a R$ 3,539 bilhões em 2022, crescimento nominal expressivo que, deflacionado pelo IPCA (base 2022), representa uma expansão real de 2,706 bilhões para 3,559 bilhões, ou seja, crescimento real de 31,5% no período. Contudo, a composição dessa receita é o ponto crítico. A receita tributária própria representou R$ 342 milhões em 2013 (em torno de 12,6% das receitas correntes nominais), chegando a R$ 939 milhões em 2022 (cerca de 26,5%). Em valores reais, saiu de R$ 584,2 milhões para R$ 945 milhões (base 2022), crescimento real de 61,8%, o que indica melhora na capacidade arrecadatória própria ao longo do período. As transferências correntes, por sua vez, representavam R$ 1,088 bilhão em 2013 e chegaram a R$ 2,116 bilhões em 2022 (nominais), mantendo participação em torno de 59% a 68% das receitas correntes ao longo de todo o período. Isso significa que, apesar da melhora na arrecadação própria, Maceió continua estruturalmente dependente de transferências para financiar seus gastos.</w:t>
      </w:r>
    </w:p>
    <w:p w14:paraId="294ABB99" w14:textId="77777777" w:rsidR="001B0A56" w:rsidRPr="00623F55" w:rsidRDefault="001B0A56" w:rsidP="00C03EF2">
      <w:pPr>
        <w:pStyle w:val="NormalWeb"/>
        <w:jc w:val="both"/>
      </w:pPr>
      <w:r w:rsidRPr="00623F55">
        <w:t>Duque de Caxias apresenta perfil ligeiramente mais robusto em termos de receita própria, reflexo da presença industrial da Refinaria Duque de Caxias (REDUC/Petrobras) e de uma base econômica mais diversificada. As receitas correntes nominais saíram de R$ 1,860 bilhão em 2013 para R$ 3,913 bilhões em 2022, crescimento nominal de 110%. Em valores reais (base 2022), esse crescimento foi de R$ 3,177 bilhões para R$ 3,934 bilhões, expansão real de 23,8%, inferior à de Maceió. A receita tributária saiu de R$ 412,3 milhões em 2013 para R$ 769,6 milhões em 2022 (nominais), representando 22,1% e 19,7% das receitas correntes, respectivamente. Em termos reais, saiu de R$ 704,2 milhões para R$ 773,8 milhões (base 2022), crescimento real modesto de apenas 9,9%. As transferências correntes, por sua vez, representavam R$ 1,299 bilhão em 2013 e chegaram a R$ 2,909 bilhões em 2022 (nominais), com participação crescente ao longo do período, indicando que mesmo um município economicamente mais robusto como Duque de Caxias ampliou sua dependência de transferências na última década.</w:t>
      </w:r>
    </w:p>
    <w:p w14:paraId="5718CCC6" w14:textId="4D6B3BFF" w:rsidR="00E00201" w:rsidRPr="00623F55" w:rsidRDefault="001B0A56" w:rsidP="00C03EF2">
      <w:pPr>
        <w:pStyle w:val="NormalWeb"/>
        <w:jc w:val="both"/>
      </w:pPr>
      <w:r w:rsidRPr="00623F55">
        <w:t xml:space="preserve">A análise crítica aponta para um problema estrutural do federalismo fiscal brasileiro: a receita tributária própria dos municípios cresce, mas em ritmo insuficiente para reduzir a </w:t>
      </w:r>
      <w:r w:rsidRPr="00623F55">
        <w:lastRenderedPageBreak/>
        <w:t>dependência de transferências. Em Maceió, as transferências ainda representam mais de 59% das receitas correntes em 2022. Em Duque de Caxias, essa participação é ainda maior. Essa estrutura torna ambos os municípios vulneráveis a qualquer retração na arrecadação federal ou estadual, como ficou evidente na crise de 2016, quando a queda no FPM e na cota do ICMS fluminense pressionou diretamente as finanças dos dois municípios.</w:t>
      </w:r>
    </w:p>
    <w:p w14:paraId="25E97776" w14:textId="2CC48A5A" w:rsidR="001B0A56" w:rsidRPr="00623F55" w:rsidRDefault="001B0A56" w:rsidP="00C03EF2">
      <w:pPr>
        <w:pStyle w:val="NormalWeb"/>
        <w:jc w:val="both"/>
      </w:pPr>
      <w:r w:rsidRPr="00623F55">
        <w:rPr>
          <w:noProof/>
        </w:rPr>
        <w:drawing>
          <wp:inline distT="0" distB="0" distL="0" distR="0" wp14:anchorId="11632E39" wp14:editId="41215253">
            <wp:extent cx="4819650" cy="3133725"/>
            <wp:effectExtent l="0" t="0" r="0" b="9525"/>
            <wp:docPr id="2" name="Gráfico 2">
              <a:extLst xmlns:a="http://schemas.openxmlformats.org/drawingml/2006/main">
                <a:ext uri="{FF2B5EF4-FFF2-40B4-BE49-F238E27FC236}">
                  <a16:creationId xmlns:a16="http://schemas.microsoft.com/office/drawing/2014/main" id="{BF61BDD5-E9AA-4E7D-9A2C-2F358F45D0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AFC577F" w14:textId="027E52BE" w:rsidR="001B0A56" w:rsidRPr="00623F55" w:rsidRDefault="001B0A56" w:rsidP="00C03EF2">
      <w:pPr>
        <w:pStyle w:val="NormalWeb"/>
        <w:jc w:val="both"/>
      </w:pPr>
      <w:r w:rsidRPr="00623F55">
        <w:rPr>
          <w:noProof/>
        </w:rPr>
        <w:drawing>
          <wp:inline distT="0" distB="0" distL="0" distR="0" wp14:anchorId="57EC0C74" wp14:editId="36601DBC">
            <wp:extent cx="4829175" cy="3057525"/>
            <wp:effectExtent l="0" t="0" r="9525" b="9525"/>
            <wp:docPr id="3" name="Gráfico 3">
              <a:extLst xmlns:a="http://schemas.openxmlformats.org/drawingml/2006/main">
                <a:ext uri="{FF2B5EF4-FFF2-40B4-BE49-F238E27FC236}">
                  <a16:creationId xmlns:a16="http://schemas.microsoft.com/office/drawing/2014/main" id="{63084391-120C-4DE4-A7AB-49BD2B4F85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3CEC632" w14:textId="77777777" w:rsidR="001B0A56" w:rsidRPr="00623F55" w:rsidRDefault="001B0A56" w:rsidP="00C03EF2">
      <w:pPr>
        <w:pStyle w:val="NormalWeb"/>
        <w:jc w:val="both"/>
      </w:pPr>
      <w:r w:rsidRPr="00623F55">
        <w:t>Fontes:</w:t>
      </w:r>
    </w:p>
    <w:p w14:paraId="3E9654FD" w14:textId="77777777" w:rsidR="001B0A56" w:rsidRPr="00623F55" w:rsidRDefault="001B0A56" w:rsidP="00C03EF2">
      <w:pPr>
        <w:pStyle w:val="NormalWeb"/>
        <w:jc w:val="both"/>
      </w:pPr>
    </w:p>
    <w:p w14:paraId="433906FC" w14:textId="0BF45D7D" w:rsidR="001B0A56" w:rsidRPr="00623F55" w:rsidRDefault="001B0A56" w:rsidP="00C03EF2">
      <w:pPr>
        <w:pStyle w:val="NormalWeb"/>
        <w:jc w:val="both"/>
      </w:pPr>
      <w:r w:rsidRPr="00623F55">
        <w:lastRenderedPageBreak/>
        <w:t xml:space="preserve">SICONFI/FINBRA, STN: </w:t>
      </w:r>
      <w:hyperlink r:id="rId15" w:history="1">
        <w:r w:rsidRPr="00623F55">
          <w:rPr>
            <w:rStyle w:val="Hyperlink"/>
          </w:rPr>
          <w:t>https://siconfi.tesouro.gov.br/siconfi/pages/public/consulta_finbra/finbra_list.jsf</w:t>
        </w:r>
      </w:hyperlink>
      <w:r w:rsidRPr="00623F55">
        <w:br/>
      </w:r>
    </w:p>
    <w:p w14:paraId="58DCFB9F" w14:textId="38B346F2" w:rsidR="001B0A56" w:rsidRPr="00623F55" w:rsidRDefault="001B0A56" w:rsidP="00C03EF2">
      <w:pPr>
        <w:pStyle w:val="NormalWeb"/>
        <w:jc w:val="both"/>
      </w:pPr>
      <w:r w:rsidRPr="00623F55">
        <w:t>Questão 4)</w:t>
      </w:r>
    </w:p>
    <w:p w14:paraId="1AF33681" w14:textId="77777777" w:rsidR="001B0A56" w:rsidRPr="00623F55" w:rsidRDefault="001B0A56" w:rsidP="00C03EF2">
      <w:pPr>
        <w:pStyle w:val="NormalWeb"/>
        <w:jc w:val="both"/>
      </w:pPr>
      <w:r w:rsidRPr="00623F55">
        <w:t>A análise conjunta das receitas correntes e despesas totais em valores reais (base 2022) permite avaliar a trajetória do equilíbrio fiscal de cada município ao longo de uma década, eliminando o efeito da inflação e revelando tendências estruturais que os valores nominais frequentemente obscurecem.</w:t>
      </w:r>
    </w:p>
    <w:p w14:paraId="7F7EA762" w14:textId="77777777" w:rsidR="001B0A56" w:rsidRPr="00623F55" w:rsidRDefault="001B0A56" w:rsidP="00C03EF2">
      <w:pPr>
        <w:pStyle w:val="NormalWeb"/>
        <w:jc w:val="both"/>
      </w:pPr>
      <w:r w:rsidRPr="00623F55">
        <w:t>Maceió apresentou receitas correntes reais crescendo de R$ 2,706 bilhões em 2013 para R$ 3,559 bilhões em 2022, expansão real de 31,5% no período. As despesas totais reais acompanharam esse movimento, saindo de R$ 2,673 bilhões em 2013 para R$ 3,212 bilhões em 2022, crescimento real de 20,1%. O resultado é que o município manteve superávit corrente durante todo o período, com o gap entre receitas e despesas oscilando entre R$ 33 milhões (2013) e R$ 347 milhões (2022). O ponto de maior tensão foi 2018, quando as despesas reais saltaram para R$ 2,934 bilhões enquanto as receitas recuaram para R$ 2,662 bilhões, gerando o menor superávit real da série. Esse movimento reflete o impacto da crise fiscal nacional sobre as transferências federais e o crescimento simultâneo das despesas obrigatórias, especialmente saúde e educação. A recuperação a partir de 2019 foi viabilizada pelo crescimento das transferências do SUS e pelo aumento da arrecadação própria, que cresceu 61,8% em termos reais entre 2013 e 2022.</w:t>
      </w:r>
    </w:p>
    <w:p w14:paraId="38E86778" w14:textId="77777777" w:rsidR="001B0A56" w:rsidRPr="00623F55" w:rsidRDefault="001B0A56" w:rsidP="00C03EF2">
      <w:pPr>
        <w:pStyle w:val="NormalWeb"/>
        <w:jc w:val="both"/>
      </w:pPr>
      <w:r w:rsidRPr="00623F55">
        <w:t>Duque de Caxias apresenta dinâmica mais volátil e preocupante. As receitas correntes reais saíram de R$ 3,177 bilhões em 2013 para R$ 3,934 bilhões em 2022, crescimento real de 23,8%. As despesas totais reais, por sua vez, saíram de R$ 2,946 bilhões em 2013 e chegaram a R$ 4,071 bilhões em 2022, crescimento real de 38,2%, ritmo significativamente superior ao das receitas. Esse descompasso produziu dois momentos de déficit real ao longo do período: em 2016 (déficit de R$ 214,8 milhões) e em 2022 (déficit de R$ 137,1 milhões). O déficit de 2016 está diretamente associado à crise fiscal do estado do Rio de Janeiro, que comprimiu transferências do ICMS e reduziu as receitas correntes reais de R$ 2,881 bilhões, abaixo do nível de 2013. O déficit de 2022 é estruturalmente mais preocupante: ocorre num ano de receitas recordes, o que indica que o problema não é de arrecadação, mas de expansão das despesas acima da capacidade fiscal do município. As despesas com saúde, que cresceram de R$ 741,5 milhões reais em 2013 para R$ 1,519 bilhão em 2022 (crescimento real de 104,9%), são o principal vetor dessa pressão.</w:t>
      </w:r>
    </w:p>
    <w:p w14:paraId="50B59724" w14:textId="0D53B7DF" w:rsidR="001B0A56" w:rsidRPr="00623F55" w:rsidRDefault="001B0A56" w:rsidP="00C03EF2">
      <w:pPr>
        <w:pStyle w:val="NormalWeb"/>
        <w:jc w:val="both"/>
      </w:pPr>
      <w:r w:rsidRPr="00623F55">
        <w:t>A análise crítica dos dois municípios revela padrões distintos de gestão fiscal. Maceió, apesar da base econômica mais frágil e da maior dependência de transferências, conseguiu manter equilíbrio fiscal ao longo de toda a década, o que sugere maior disciplina no controle das despesas. Duque de Caxias, com base econômica mais robusta e receitas per capita superiores, apresentou dois momentos de desequilíbrio, evidenciando que capacidade fiscal elevada não garante automaticamente equilíbrio orçamentário sem controle adequado das despesas. Esse contraste ilustra o argumento central de Giambiagi &amp; Além de que a sustentabilidade fiscal depende menos do volume de recursos disponíveis e mais da qualidade da gestão orçamentária.</w:t>
      </w:r>
    </w:p>
    <w:p w14:paraId="5FC1A8D9" w14:textId="4C57406B" w:rsidR="005D1616" w:rsidRPr="00623F55" w:rsidRDefault="005D1616" w:rsidP="00C03EF2">
      <w:pPr>
        <w:pStyle w:val="NormalWeb"/>
        <w:jc w:val="both"/>
      </w:pPr>
      <w:r w:rsidRPr="00623F55">
        <w:rPr>
          <w:noProof/>
        </w:rPr>
        <w:lastRenderedPageBreak/>
        <w:drawing>
          <wp:inline distT="0" distB="0" distL="0" distR="0" wp14:anchorId="49132C5E" wp14:editId="20617823">
            <wp:extent cx="5153025" cy="3105150"/>
            <wp:effectExtent l="0" t="0" r="9525" b="0"/>
            <wp:docPr id="4" name="Gráfico 4">
              <a:extLst xmlns:a="http://schemas.openxmlformats.org/drawingml/2006/main">
                <a:ext uri="{FF2B5EF4-FFF2-40B4-BE49-F238E27FC236}">
                  <a16:creationId xmlns:a16="http://schemas.microsoft.com/office/drawing/2014/main" id="{404040AA-8230-4791-8C14-4E2223D0F0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A4F2987" w14:textId="7DF3927F" w:rsidR="005D1616" w:rsidRPr="00623F55" w:rsidRDefault="005D1616" w:rsidP="00C03EF2">
      <w:pPr>
        <w:pStyle w:val="NormalWeb"/>
        <w:jc w:val="both"/>
      </w:pPr>
      <w:r w:rsidRPr="00623F55">
        <w:rPr>
          <w:noProof/>
        </w:rPr>
        <w:drawing>
          <wp:inline distT="0" distB="0" distL="0" distR="0" wp14:anchorId="7E6A5840" wp14:editId="564A8B17">
            <wp:extent cx="5162550" cy="3133090"/>
            <wp:effectExtent l="0" t="0" r="0" b="10160"/>
            <wp:docPr id="5" name="Gráfico 5">
              <a:extLst xmlns:a="http://schemas.openxmlformats.org/drawingml/2006/main">
                <a:ext uri="{FF2B5EF4-FFF2-40B4-BE49-F238E27FC236}">
                  <a16:creationId xmlns:a16="http://schemas.microsoft.com/office/drawing/2014/main" id="{828E81D2-6E81-4920-9B07-93847E5CB2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71E863" w14:textId="4E681ACC" w:rsidR="005D1616" w:rsidRPr="00623F55" w:rsidRDefault="005D1616" w:rsidP="00C03EF2">
      <w:pPr>
        <w:pStyle w:val="NormalWeb"/>
        <w:jc w:val="both"/>
      </w:pPr>
      <w:r w:rsidRPr="00623F55">
        <w:t>Fontes:</w:t>
      </w:r>
    </w:p>
    <w:p w14:paraId="0447FDBD" w14:textId="772DC116" w:rsidR="005D1616" w:rsidRPr="00623F55" w:rsidRDefault="005D1616" w:rsidP="00C03EF2">
      <w:pPr>
        <w:pStyle w:val="NormalWeb"/>
        <w:jc w:val="both"/>
      </w:pPr>
      <w:r w:rsidRPr="00623F55">
        <w:t xml:space="preserve">SICONFI/FINBRA, STN: </w:t>
      </w:r>
      <w:hyperlink r:id="rId18" w:history="1">
        <w:r w:rsidR="00141FDE" w:rsidRPr="00623F55">
          <w:rPr>
            <w:rStyle w:val="Hyperlink"/>
          </w:rPr>
          <w:t>https://siconfi.tesouro.gov.br/siconfi/pages/public/consulta_finbra/finbra_list.jsf</w:t>
        </w:r>
      </w:hyperlink>
    </w:p>
    <w:p w14:paraId="189C2E41" w14:textId="11789151" w:rsidR="00141FDE" w:rsidRPr="00623F55" w:rsidRDefault="00141FDE" w:rsidP="00C03EF2">
      <w:pPr>
        <w:pStyle w:val="NormalWeb"/>
        <w:jc w:val="both"/>
      </w:pPr>
      <w:r w:rsidRPr="00623F55">
        <w:t>Questão 5)</w:t>
      </w:r>
    </w:p>
    <w:p w14:paraId="01BDD0A4" w14:textId="77777777" w:rsidR="00141FDE" w:rsidRPr="00623F55" w:rsidRDefault="00141FDE" w:rsidP="00C03EF2">
      <w:pPr>
        <w:pStyle w:val="NormalWeb"/>
        <w:jc w:val="both"/>
      </w:pPr>
      <w:r w:rsidRPr="00623F55">
        <w:t>Para relacionar gasto público com resultado, utilizamos a despesa com educação em valores reais (base 2022) como variável independente e o IDEB como variável dependente, nos anos em que ambos os dados estão disponíveis simultaneamente. O IDEB é calculado bienalmente pelo INEP nos anos ímpares, o que reduz a série a cinco observações por município no período 2013,2022 (2013, 2015, 2017, 2019 e 2021).</w:t>
      </w:r>
    </w:p>
    <w:p w14:paraId="69F9E763" w14:textId="77777777" w:rsidR="00141FDE" w:rsidRPr="00623F55" w:rsidRDefault="00141FDE" w:rsidP="00C03EF2">
      <w:pPr>
        <w:pStyle w:val="NormalWeb"/>
        <w:jc w:val="both"/>
      </w:pPr>
      <w:r w:rsidRPr="00623F55">
        <w:lastRenderedPageBreak/>
        <w:t>Maceió apresentou a seguinte evolução conjunta:</w:t>
      </w:r>
    </w:p>
    <w:tbl>
      <w:tblPr>
        <w:tblW w:w="6180" w:type="dxa"/>
        <w:tblCellMar>
          <w:left w:w="70" w:type="dxa"/>
          <w:right w:w="70" w:type="dxa"/>
        </w:tblCellMar>
        <w:tblLook w:val="04A0" w:firstRow="1" w:lastRow="0" w:firstColumn="1" w:lastColumn="0" w:noHBand="0" w:noVBand="1"/>
      </w:tblPr>
      <w:tblGrid>
        <w:gridCol w:w="2620"/>
        <w:gridCol w:w="2053"/>
        <w:gridCol w:w="1507"/>
      </w:tblGrid>
      <w:tr w:rsidR="00141FDE" w:rsidRPr="00141FDE" w14:paraId="62E83672" w14:textId="77777777" w:rsidTr="00141FDE">
        <w:trPr>
          <w:trHeight w:val="960"/>
        </w:trPr>
        <w:tc>
          <w:tcPr>
            <w:tcW w:w="2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2D30A" w14:textId="77777777" w:rsidR="00141FDE" w:rsidRPr="00141FDE" w:rsidRDefault="00141FDE" w:rsidP="00C03EF2">
            <w:pPr>
              <w:spacing w:after="0" w:line="240" w:lineRule="auto"/>
              <w:jc w:val="both"/>
              <w:rPr>
                <w:rFonts w:ascii="Times New Roman" w:eastAsia="Times New Roman" w:hAnsi="Times New Roman" w:cs="Times New Roman"/>
                <w:b/>
                <w:bCs/>
                <w:color w:val="000000"/>
                <w:lang w:eastAsia="pt-BR"/>
              </w:rPr>
            </w:pPr>
            <w:r w:rsidRPr="00141FDE">
              <w:rPr>
                <w:rFonts w:ascii="Times New Roman" w:eastAsia="Times New Roman" w:hAnsi="Times New Roman" w:cs="Times New Roman"/>
                <w:b/>
                <w:bCs/>
                <w:color w:val="000000"/>
                <w:lang w:eastAsia="pt-BR"/>
              </w:rPr>
              <w:t>ANO</w:t>
            </w:r>
          </w:p>
        </w:tc>
        <w:tc>
          <w:tcPr>
            <w:tcW w:w="2053" w:type="dxa"/>
            <w:tcBorders>
              <w:top w:val="single" w:sz="4" w:space="0" w:color="auto"/>
              <w:left w:val="nil"/>
              <w:bottom w:val="single" w:sz="4" w:space="0" w:color="auto"/>
              <w:right w:val="single" w:sz="4" w:space="0" w:color="auto"/>
            </w:tcBorders>
            <w:shd w:val="clear" w:color="auto" w:fill="auto"/>
            <w:vAlign w:val="center"/>
            <w:hideMark/>
          </w:tcPr>
          <w:p w14:paraId="16B6F310" w14:textId="77777777" w:rsidR="00141FDE" w:rsidRPr="00141FDE" w:rsidRDefault="00141FDE" w:rsidP="00C03EF2">
            <w:pPr>
              <w:spacing w:after="0" w:line="240" w:lineRule="auto"/>
              <w:jc w:val="both"/>
              <w:rPr>
                <w:rFonts w:ascii="Times New Roman" w:eastAsia="Times New Roman" w:hAnsi="Times New Roman" w:cs="Times New Roman"/>
                <w:b/>
                <w:bCs/>
                <w:color w:val="000000"/>
                <w:lang w:eastAsia="pt-BR"/>
              </w:rPr>
            </w:pPr>
            <w:r w:rsidRPr="00141FDE">
              <w:rPr>
                <w:rFonts w:ascii="Times New Roman" w:eastAsia="Times New Roman" w:hAnsi="Times New Roman" w:cs="Times New Roman"/>
                <w:b/>
                <w:bCs/>
                <w:color w:val="000000"/>
                <w:lang w:eastAsia="pt-BR"/>
              </w:rPr>
              <w:t>DESPESA COM EDUCAÇÃO - IPCA (2022)</w:t>
            </w:r>
          </w:p>
        </w:tc>
        <w:tc>
          <w:tcPr>
            <w:tcW w:w="1507" w:type="dxa"/>
            <w:tcBorders>
              <w:top w:val="single" w:sz="4" w:space="0" w:color="auto"/>
              <w:left w:val="nil"/>
              <w:bottom w:val="single" w:sz="4" w:space="0" w:color="auto"/>
              <w:right w:val="single" w:sz="4" w:space="0" w:color="auto"/>
            </w:tcBorders>
            <w:shd w:val="clear" w:color="auto" w:fill="auto"/>
            <w:vAlign w:val="center"/>
            <w:hideMark/>
          </w:tcPr>
          <w:p w14:paraId="03976AC8" w14:textId="77777777" w:rsidR="00141FDE" w:rsidRPr="00141FDE" w:rsidRDefault="00141FDE" w:rsidP="00C03EF2">
            <w:pPr>
              <w:spacing w:after="0" w:line="240" w:lineRule="auto"/>
              <w:jc w:val="both"/>
              <w:rPr>
                <w:rFonts w:ascii="Times New Roman" w:eastAsia="Times New Roman" w:hAnsi="Times New Roman" w:cs="Times New Roman"/>
                <w:b/>
                <w:bCs/>
                <w:color w:val="000000"/>
                <w:lang w:eastAsia="pt-BR"/>
              </w:rPr>
            </w:pPr>
            <w:r w:rsidRPr="00141FDE">
              <w:rPr>
                <w:rFonts w:ascii="Times New Roman" w:eastAsia="Times New Roman" w:hAnsi="Times New Roman" w:cs="Times New Roman"/>
                <w:b/>
                <w:bCs/>
                <w:color w:val="000000"/>
                <w:lang w:eastAsia="pt-BR"/>
              </w:rPr>
              <w:t>IDEB</w:t>
            </w:r>
          </w:p>
        </w:tc>
      </w:tr>
      <w:tr w:rsidR="00141FDE" w:rsidRPr="00141FDE" w14:paraId="2F6F13E1"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017DB1AC"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2013</w:t>
            </w:r>
          </w:p>
        </w:tc>
        <w:tc>
          <w:tcPr>
            <w:tcW w:w="2053" w:type="dxa"/>
            <w:tcBorders>
              <w:top w:val="nil"/>
              <w:left w:val="nil"/>
              <w:bottom w:val="single" w:sz="4" w:space="0" w:color="auto"/>
              <w:right w:val="single" w:sz="4" w:space="0" w:color="auto"/>
            </w:tcBorders>
            <w:shd w:val="clear" w:color="auto" w:fill="auto"/>
            <w:noWrap/>
            <w:vAlign w:val="bottom"/>
            <w:hideMark/>
          </w:tcPr>
          <w:p w14:paraId="4E15C96F"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365.646.539,66 </w:t>
            </w:r>
          </w:p>
        </w:tc>
        <w:tc>
          <w:tcPr>
            <w:tcW w:w="1507" w:type="dxa"/>
            <w:tcBorders>
              <w:top w:val="nil"/>
              <w:left w:val="nil"/>
              <w:bottom w:val="single" w:sz="4" w:space="0" w:color="auto"/>
              <w:right w:val="single" w:sz="4" w:space="0" w:color="auto"/>
            </w:tcBorders>
            <w:shd w:val="clear" w:color="auto" w:fill="auto"/>
            <w:noWrap/>
            <w:vAlign w:val="bottom"/>
            <w:hideMark/>
          </w:tcPr>
          <w:p w14:paraId="34DD78C6"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4,1</w:t>
            </w:r>
          </w:p>
        </w:tc>
      </w:tr>
      <w:tr w:rsidR="00141FDE" w:rsidRPr="00141FDE" w14:paraId="3736D2D3"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535A714F"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2015</w:t>
            </w:r>
          </w:p>
        </w:tc>
        <w:tc>
          <w:tcPr>
            <w:tcW w:w="2053" w:type="dxa"/>
            <w:tcBorders>
              <w:top w:val="nil"/>
              <w:left w:val="nil"/>
              <w:bottom w:val="single" w:sz="4" w:space="0" w:color="auto"/>
              <w:right w:val="single" w:sz="4" w:space="0" w:color="auto"/>
            </w:tcBorders>
            <w:shd w:val="clear" w:color="auto" w:fill="auto"/>
            <w:noWrap/>
            <w:vAlign w:val="bottom"/>
            <w:hideMark/>
          </w:tcPr>
          <w:p w14:paraId="4FB9C3FB"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406.630.736,13 </w:t>
            </w:r>
          </w:p>
        </w:tc>
        <w:tc>
          <w:tcPr>
            <w:tcW w:w="1507" w:type="dxa"/>
            <w:tcBorders>
              <w:top w:val="nil"/>
              <w:left w:val="nil"/>
              <w:bottom w:val="single" w:sz="4" w:space="0" w:color="auto"/>
              <w:right w:val="single" w:sz="4" w:space="0" w:color="auto"/>
            </w:tcBorders>
            <w:shd w:val="clear" w:color="auto" w:fill="auto"/>
            <w:noWrap/>
            <w:vAlign w:val="bottom"/>
            <w:hideMark/>
          </w:tcPr>
          <w:p w14:paraId="24A05DAF"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4,4</w:t>
            </w:r>
          </w:p>
        </w:tc>
      </w:tr>
      <w:tr w:rsidR="00141FDE" w:rsidRPr="00141FDE" w14:paraId="28A13802"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4D42B0BC"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2017</w:t>
            </w:r>
          </w:p>
        </w:tc>
        <w:tc>
          <w:tcPr>
            <w:tcW w:w="2053" w:type="dxa"/>
            <w:tcBorders>
              <w:top w:val="nil"/>
              <w:left w:val="nil"/>
              <w:bottom w:val="single" w:sz="4" w:space="0" w:color="auto"/>
              <w:right w:val="single" w:sz="4" w:space="0" w:color="auto"/>
            </w:tcBorders>
            <w:shd w:val="clear" w:color="auto" w:fill="auto"/>
            <w:noWrap/>
            <w:vAlign w:val="bottom"/>
            <w:hideMark/>
          </w:tcPr>
          <w:p w14:paraId="1282EC19"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410.444.804,09 </w:t>
            </w:r>
          </w:p>
        </w:tc>
        <w:tc>
          <w:tcPr>
            <w:tcW w:w="1507" w:type="dxa"/>
            <w:tcBorders>
              <w:top w:val="nil"/>
              <w:left w:val="nil"/>
              <w:bottom w:val="single" w:sz="4" w:space="0" w:color="auto"/>
              <w:right w:val="single" w:sz="4" w:space="0" w:color="auto"/>
            </w:tcBorders>
            <w:shd w:val="clear" w:color="auto" w:fill="auto"/>
            <w:noWrap/>
            <w:vAlign w:val="bottom"/>
            <w:hideMark/>
          </w:tcPr>
          <w:p w14:paraId="43A83FB7"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5</w:t>
            </w:r>
          </w:p>
        </w:tc>
      </w:tr>
      <w:tr w:rsidR="00141FDE" w:rsidRPr="00141FDE" w14:paraId="39EBECF8"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4BEE671D"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2019</w:t>
            </w:r>
          </w:p>
        </w:tc>
        <w:tc>
          <w:tcPr>
            <w:tcW w:w="2053" w:type="dxa"/>
            <w:tcBorders>
              <w:top w:val="nil"/>
              <w:left w:val="nil"/>
              <w:bottom w:val="single" w:sz="4" w:space="0" w:color="auto"/>
              <w:right w:val="single" w:sz="4" w:space="0" w:color="auto"/>
            </w:tcBorders>
            <w:shd w:val="clear" w:color="auto" w:fill="auto"/>
            <w:noWrap/>
            <w:vAlign w:val="bottom"/>
            <w:hideMark/>
          </w:tcPr>
          <w:p w14:paraId="13F69AD4"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402.228.510,50 </w:t>
            </w:r>
          </w:p>
        </w:tc>
        <w:tc>
          <w:tcPr>
            <w:tcW w:w="1507" w:type="dxa"/>
            <w:tcBorders>
              <w:top w:val="nil"/>
              <w:left w:val="nil"/>
              <w:bottom w:val="single" w:sz="4" w:space="0" w:color="auto"/>
              <w:right w:val="single" w:sz="4" w:space="0" w:color="auto"/>
            </w:tcBorders>
            <w:shd w:val="clear" w:color="auto" w:fill="auto"/>
            <w:noWrap/>
            <w:vAlign w:val="bottom"/>
            <w:hideMark/>
          </w:tcPr>
          <w:p w14:paraId="769E81F1"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5,4</w:t>
            </w:r>
          </w:p>
        </w:tc>
      </w:tr>
      <w:tr w:rsidR="00141FDE" w:rsidRPr="00141FDE" w14:paraId="6C313192"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2AEEA7A8"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2021</w:t>
            </w:r>
          </w:p>
        </w:tc>
        <w:tc>
          <w:tcPr>
            <w:tcW w:w="2053" w:type="dxa"/>
            <w:tcBorders>
              <w:top w:val="nil"/>
              <w:left w:val="nil"/>
              <w:bottom w:val="single" w:sz="4" w:space="0" w:color="auto"/>
              <w:right w:val="single" w:sz="4" w:space="0" w:color="auto"/>
            </w:tcBorders>
            <w:shd w:val="clear" w:color="auto" w:fill="auto"/>
            <w:noWrap/>
            <w:vAlign w:val="bottom"/>
            <w:hideMark/>
          </w:tcPr>
          <w:p w14:paraId="20A2AF66"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427.916.351,79 </w:t>
            </w:r>
          </w:p>
        </w:tc>
        <w:tc>
          <w:tcPr>
            <w:tcW w:w="1507" w:type="dxa"/>
            <w:tcBorders>
              <w:top w:val="nil"/>
              <w:left w:val="nil"/>
              <w:bottom w:val="single" w:sz="4" w:space="0" w:color="auto"/>
              <w:right w:val="single" w:sz="4" w:space="0" w:color="auto"/>
            </w:tcBorders>
            <w:shd w:val="clear" w:color="auto" w:fill="auto"/>
            <w:noWrap/>
            <w:vAlign w:val="bottom"/>
            <w:hideMark/>
          </w:tcPr>
          <w:p w14:paraId="1C2FADF4"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4,8</w:t>
            </w:r>
          </w:p>
        </w:tc>
      </w:tr>
      <w:tr w:rsidR="00141FDE" w:rsidRPr="00141FDE" w14:paraId="39B03BF8"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36479644"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CORRELAÇÃO</w:t>
            </w:r>
          </w:p>
        </w:tc>
        <w:tc>
          <w:tcPr>
            <w:tcW w:w="2053" w:type="dxa"/>
            <w:tcBorders>
              <w:top w:val="nil"/>
              <w:left w:val="nil"/>
              <w:bottom w:val="single" w:sz="4" w:space="0" w:color="auto"/>
              <w:right w:val="single" w:sz="4" w:space="0" w:color="auto"/>
            </w:tcBorders>
            <w:shd w:val="clear" w:color="auto" w:fill="auto"/>
            <w:noWrap/>
            <w:vAlign w:val="bottom"/>
            <w:hideMark/>
          </w:tcPr>
          <w:p w14:paraId="735C7BA7"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0,551816391</w:t>
            </w:r>
          </w:p>
        </w:tc>
        <w:tc>
          <w:tcPr>
            <w:tcW w:w="1507" w:type="dxa"/>
            <w:tcBorders>
              <w:top w:val="nil"/>
              <w:left w:val="nil"/>
              <w:bottom w:val="nil"/>
              <w:right w:val="nil"/>
            </w:tcBorders>
            <w:shd w:val="clear" w:color="auto" w:fill="auto"/>
            <w:noWrap/>
            <w:vAlign w:val="bottom"/>
            <w:hideMark/>
          </w:tcPr>
          <w:p w14:paraId="3E00A46A"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w:t>
            </w:r>
          </w:p>
        </w:tc>
      </w:tr>
    </w:tbl>
    <w:p w14:paraId="202C0009" w14:textId="77777777" w:rsidR="00141FDE" w:rsidRPr="00623F55" w:rsidRDefault="00141FDE" w:rsidP="00C03EF2">
      <w:pPr>
        <w:pStyle w:val="NormalWeb"/>
        <w:jc w:val="both"/>
      </w:pPr>
      <w:r w:rsidRPr="00623F55">
        <w:t>A trajetória de Maceió mostra associação positiva entre gasto e resultado entre 2013 e 2019, com o IDEB subindo de 4,1 para 5,4 enquanto o gasto real crescia de R$ 365,6 milhões para R$ 402,2 milhões. O recuo do IDEB em 2021 (de 5,4 para 4,8) ocorre mesmo com o gasto aumentando para R$ 427,9 milhões, o que evidencia o impacto da pandemia sobre os resultados educacionais, rompendo temporariamente a relação entre gasto e resultado. Esse ponto é metodologicamente relevante: 2021 é um outlier pandêmico que deve ser considerado na interpretação da correlação.</w:t>
      </w:r>
    </w:p>
    <w:p w14:paraId="530A235F" w14:textId="77777777" w:rsidR="00141FDE" w:rsidRPr="00623F55" w:rsidRDefault="00141FDE" w:rsidP="00C03EF2">
      <w:pPr>
        <w:pStyle w:val="NormalWeb"/>
        <w:jc w:val="both"/>
      </w:pPr>
      <w:r w:rsidRPr="00623F55">
        <w:t>Duque de Caxias apresentou a seguinte evolução:</w:t>
      </w:r>
    </w:p>
    <w:tbl>
      <w:tblPr>
        <w:tblW w:w="5940" w:type="dxa"/>
        <w:tblCellMar>
          <w:left w:w="70" w:type="dxa"/>
          <w:right w:w="70" w:type="dxa"/>
        </w:tblCellMar>
        <w:tblLook w:val="04A0" w:firstRow="1" w:lastRow="0" w:firstColumn="1" w:lastColumn="0" w:noHBand="0" w:noVBand="1"/>
      </w:tblPr>
      <w:tblGrid>
        <w:gridCol w:w="2620"/>
        <w:gridCol w:w="2337"/>
        <w:gridCol w:w="983"/>
      </w:tblGrid>
      <w:tr w:rsidR="00141FDE" w:rsidRPr="00141FDE" w14:paraId="7662355B" w14:textId="77777777" w:rsidTr="00141FDE">
        <w:trPr>
          <w:trHeight w:val="960"/>
        </w:trPr>
        <w:tc>
          <w:tcPr>
            <w:tcW w:w="2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2BA2F4" w14:textId="77777777" w:rsidR="00141FDE" w:rsidRPr="00141FDE" w:rsidRDefault="00141FDE" w:rsidP="00C03EF2">
            <w:pPr>
              <w:spacing w:after="0" w:line="240" w:lineRule="auto"/>
              <w:jc w:val="both"/>
              <w:rPr>
                <w:rFonts w:ascii="Times New Roman" w:eastAsia="Times New Roman" w:hAnsi="Times New Roman" w:cs="Times New Roman"/>
                <w:b/>
                <w:bCs/>
                <w:color w:val="000000"/>
                <w:lang w:eastAsia="pt-BR"/>
              </w:rPr>
            </w:pPr>
            <w:r w:rsidRPr="00141FDE">
              <w:rPr>
                <w:rFonts w:ascii="Times New Roman" w:eastAsia="Times New Roman" w:hAnsi="Times New Roman" w:cs="Times New Roman"/>
                <w:b/>
                <w:bCs/>
                <w:color w:val="000000"/>
                <w:lang w:eastAsia="pt-BR"/>
              </w:rPr>
              <w:t>ANO</w:t>
            </w:r>
          </w:p>
        </w:tc>
        <w:tc>
          <w:tcPr>
            <w:tcW w:w="2337" w:type="dxa"/>
            <w:tcBorders>
              <w:top w:val="single" w:sz="4" w:space="0" w:color="auto"/>
              <w:left w:val="nil"/>
              <w:bottom w:val="single" w:sz="4" w:space="0" w:color="auto"/>
              <w:right w:val="single" w:sz="4" w:space="0" w:color="auto"/>
            </w:tcBorders>
            <w:shd w:val="clear" w:color="auto" w:fill="auto"/>
            <w:vAlign w:val="center"/>
            <w:hideMark/>
          </w:tcPr>
          <w:p w14:paraId="70174ED1" w14:textId="77777777" w:rsidR="00141FDE" w:rsidRPr="00141FDE" w:rsidRDefault="00141FDE" w:rsidP="00C03EF2">
            <w:pPr>
              <w:spacing w:after="0" w:line="240" w:lineRule="auto"/>
              <w:jc w:val="both"/>
              <w:rPr>
                <w:rFonts w:ascii="Times New Roman" w:eastAsia="Times New Roman" w:hAnsi="Times New Roman" w:cs="Times New Roman"/>
                <w:b/>
                <w:bCs/>
                <w:color w:val="000000"/>
                <w:lang w:eastAsia="pt-BR"/>
              </w:rPr>
            </w:pPr>
            <w:r w:rsidRPr="00141FDE">
              <w:rPr>
                <w:rFonts w:ascii="Times New Roman" w:eastAsia="Times New Roman" w:hAnsi="Times New Roman" w:cs="Times New Roman"/>
                <w:b/>
                <w:bCs/>
                <w:color w:val="000000"/>
                <w:lang w:eastAsia="pt-BR"/>
              </w:rPr>
              <w:t>DESPESA COM EDUCAÇÃO - IPCA (2022)</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4937A282" w14:textId="77777777" w:rsidR="00141FDE" w:rsidRPr="00141FDE" w:rsidRDefault="00141FDE" w:rsidP="00C03EF2">
            <w:pPr>
              <w:spacing w:after="0" w:line="240" w:lineRule="auto"/>
              <w:jc w:val="both"/>
              <w:rPr>
                <w:rFonts w:ascii="Times New Roman" w:eastAsia="Times New Roman" w:hAnsi="Times New Roman" w:cs="Times New Roman"/>
                <w:b/>
                <w:bCs/>
                <w:color w:val="000000"/>
                <w:lang w:eastAsia="pt-BR"/>
              </w:rPr>
            </w:pPr>
            <w:r w:rsidRPr="00141FDE">
              <w:rPr>
                <w:rFonts w:ascii="Times New Roman" w:eastAsia="Times New Roman" w:hAnsi="Times New Roman" w:cs="Times New Roman"/>
                <w:b/>
                <w:bCs/>
                <w:color w:val="000000"/>
                <w:lang w:eastAsia="pt-BR"/>
              </w:rPr>
              <w:t>IDEB</w:t>
            </w:r>
          </w:p>
        </w:tc>
      </w:tr>
      <w:tr w:rsidR="00141FDE" w:rsidRPr="00141FDE" w14:paraId="5360115A"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30A5E5FC"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2013</w:t>
            </w:r>
          </w:p>
        </w:tc>
        <w:tc>
          <w:tcPr>
            <w:tcW w:w="2337" w:type="dxa"/>
            <w:tcBorders>
              <w:top w:val="nil"/>
              <w:left w:val="nil"/>
              <w:bottom w:val="single" w:sz="4" w:space="0" w:color="auto"/>
              <w:right w:val="single" w:sz="4" w:space="0" w:color="auto"/>
            </w:tcBorders>
            <w:shd w:val="clear" w:color="auto" w:fill="auto"/>
            <w:noWrap/>
            <w:vAlign w:val="bottom"/>
            <w:hideMark/>
          </w:tcPr>
          <w:p w14:paraId="6774CD2F"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966.523.978,99 </w:t>
            </w:r>
          </w:p>
        </w:tc>
        <w:tc>
          <w:tcPr>
            <w:tcW w:w="983" w:type="dxa"/>
            <w:tcBorders>
              <w:top w:val="nil"/>
              <w:left w:val="nil"/>
              <w:bottom w:val="single" w:sz="4" w:space="0" w:color="auto"/>
              <w:right w:val="single" w:sz="4" w:space="0" w:color="auto"/>
            </w:tcBorders>
            <w:shd w:val="clear" w:color="auto" w:fill="auto"/>
            <w:noWrap/>
            <w:vAlign w:val="bottom"/>
            <w:hideMark/>
          </w:tcPr>
          <w:p w14:paraId="06F07FB6"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4,4</w:t>
            </w:r>
          </w:p>
        </w:tc>
      </w:tr>
      <w:tr w:rsidR="00141FDE" w:rsidRPr="00141FDE" w14:paraId="1A0E9D98"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2786984B"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2015</w:t>
            </w:r>
          </w:p>
        </w:tc>
        <w:tc>
          <w:tcPr>
            <w:tcW w:w="2337" w:type="dxa"/>
            <w:tcBorders>
              <w:top w:val="nil"/>
              <w:left w:val="nil"/>
              <w:bottom w:val="single" w:sz="4" w:space="0" w:color="auto"/>
              <w:right w:val="single" w:sz="4" w:space="0" w:color="auto"/>
            </w:tcBorders>
            <w:shd w:val="clear" w:color="auto" w:fill="auto"/>
            <w:noWrap/>
            <w:vAlign w:val="bottom"/>
            <w:hideMark/>
          </w:tcPr>
          <w:p w14:paraId="718D2C9E"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1.060.942.548,74 </w:t>
            </w:r>
          </w:p>
        </w:tc>
        <w:tc>
          <w:tcPr>
            <w:tcW w:w="983" w:type="dxa"/>
            <w:tcBorders>
              <w:top w:val="nil"/>
              <w:left w:val="nil"/>
              <w:bottom w:val="single" w:sz="4" w:space="0" w:color="auto"/>
              <w:right w:val="single" w:sz="4" w:space="0" w:color="auto"/>
            </w:tcBorders>
            <w:shd w:val="clear" w:color="auto" w:fill="auto"/>
            <w:noWrap/>
            <w:vAlign w:val="bottom"/>
            <w:hideMark/>
          </w:tcPr>
          <w:p w14:paraId="4FF58C27"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4,5</w:t>
            </w:r>
          </w:p>
        </w:tc>
      </w:tr>
      <w:tr w:rsidR="00141FDE" w:rsidRPr="00141FDE" w14:paraId="15480916"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3DC09980"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2017</w:t>
            </w:r>
          </w:p>
        </w:tc>
        <w:tc>
          <w:tcPr>
            <w:tcW w:w="2337" w:type="dxa"/>
            <w:tcBorders>
              <w:top w:val="nil"/>
              <w:left w:val="nil"/>
              <w:bottom w:val="single" w:sz="4" w:space="0" w:color="auto"/>
              <w:right w:val="single" w:sz="4" w:space="0" w:color="auto"/>
            </w:tcBorders>
            <w:shd w:val="clear" w:color="auto" w:fill="auto"/>
            <w:noWrap/>
            <w:vAlign w:val="bottom"/>
            <w:hideMark/>
          </w:tcPr>
          <w:p w14:paraId="20CD8FB4"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892.821.788,69 </w:t>
            </w:r>
          </w:p>
        </w:tc>
        <w:tc>
          <w:tcPr>
            <w:tcW w:w="983" w:type="dxa"/>
            <w:tcBorders>
              <w:top w:val="nil"/>
              <w:left w:val="nil"/>
              <w:bottom w:val="single" w:sz="4" w:space="0" w:color="auto"/>
              <w:right w:val="single" w:sz="4" w:space="0" w:color="auto"/>
            </w:tcBorders>
            <w:shd w:val="clear" w:color="auto" w:fill="auto"/>
            <w:noWrap/>
            <w:vAlign w:val="bottom"/>
            <w:hideMark/>
          </w:tcPr>
          <w:p w14:paraId="090EBBD1"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4,6</w:t>
            </w:r>
          </w:p>
        </w:tc>
      </w:tr>
      <w:tr w:rsidR="00141FDE" w:rsidRPr="00141FDE" w14:paraId="013079A2"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07914166"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2019</w:t>
            </w:r>
          </w:p>
        </w:tc>
        <w:tc>
          <w:tcPr>
            <w:tcW w:w="2337" w:type="dxa"/>
            <w:tcBorders>
              <w:top w:val="nil"/>
              <w:left w:val="nil"/>
              <w:bottom w:val="single" w:sz="4" w:space="0" w:color="auto"/>
              <w:right w:val="single" w:sz="4" w:space="0" w:color="auto"/>
            </w:tcBorders>
            <w:shd w:val="clear" w:color="auto" w:fill="auto"/>
            <w:noWrap/>
            <w:vAlign w:val="bottom"/>
            <w:hideMark/>
          </w:tcPr>
          <w:p w14:paraId="6A86A691"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937.299.647,55 </w:t>
            </w:r>
          </w:p>
        </w:tc>
        <w:tc>
          <w:tcPr>
            <w:tcW w:w="983" w:type="dxa"/>
            <w:tcBorders>
              <w:top w:val="nil"/>
              <w:left w:val="nil"/>
              <w:bottom w:val="single" w:sz="4" w:space="0" w:color="auto"/>
              <w:right w:val="single" w:sz="4" w:space="0" w:color="auto"/>
            </w:tcBorders>
            <w:shd w:val="clear" w:color="auto" w:fill="auto"/>
            <w:noWrap/>
            <w:vAlign w:val="bottom"/>
            <w:hideMark/>
          </w:tcPr>
          <w:p w14:paraId="4AB0F193"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4,7</w:t>
            </w:r>
          </w:p>
        </w:tc>
      </w:tr>
      <w:tr w:rsidR="00141FDE" w:rsidRPr="00141FDE" w14:paraId="3D30EDB1"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3BB6FE8A"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2021</w:t>
            </w:r>
          </w:p>
        </w:tc>
        <w:tc>
          <w:tcPr>
            <w:tcW w:w="2337" w:type="dxa"/>
            <w:tcBorders>
              <w:top w:val="nil"/>
              <w:left w:val="nil"/>
              <w:bottom w:val="single" w:sz="4" w:space="0" w:color="auto"/>
              <w:right w:val="single" w:sz="4" w:space="0" w:color="auto"/>
            </w:tcBorders>
            <w:shd w:val="clear" w:color="auto" w:fill="auto"/>
            <w:noWrap/>
            <w:vAlign w:val="bottom"/>
            <w:hideMark/>
          </w:tcPr>
          <w:p w14:paraId="764FC0EF"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xml:space="preserve"> R$       718.978.168,14 </w:t>
            </w:r>
          </w:p>
        </w:tc>
        <w:tc>
          <w:tcPr>
            <w:tcW w:w="983" w:type="dxa"/>
            <w:tcBorders>
              <w:top w:val="nil"/>
              <w:left w:val="nil"/>
              <w:bottom w:val="single" w:sz="4" w:space="0" w:color="auto"/>
              <w:right w:val="single" w:sz="4" w:space="0" w:color="auto"/>
            </w:tcBorders>
            <w:shd w:val="clear" w:color="auto" w:fill="auto"/>
            <w:noWrap/>
            <w:vAlign w:val="bottom"/>
            <w:hideMark/>
          </w:tcPr>
          <w:p w14:paraId="6CA97D18"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4,3</w:t>
            </w:r>
          </w:p>
        </w:tc>
      </w:tr>
      <w:tr w:rsidR="00141FDE" w:rsidRPr="00141FDE" w14:paraId="2645FEF2" w14:textId="77777777" w:rsidTr="00141FDE">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191B6F67"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CORRELAÇÃO</w:t>
            </w:r>
          </w:p>
        </w:tc>
        <w:tc>
          <w:tcPr>
            <w:tcW w:w="2337" w:type="dxa"/>
            <w:tcBorders>
              <w:top w:val="nil"/>
              <w:left w:val="nil"/>
              <w:bottom w:val="single" w:sz="4" w:space="0" w:color="auto"/>
              <w:right w:val="single" w:sz="4" w:space="0" w:color="auto"/>
            </w:tcBorders>
            <w:shd w:val="clear" w:color="auto" w:fill="auto"/>
            <w:noWrap/>
            <w:vAlign w:val="bottom"/>
            <w:hideMark/>
          </w:tcPr>
          <w:p w14:paraId="4C8D7C90"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0,455935724</w:t>
            </w:r>
          </w:p>
        </w:tc>
        <w:tc>
          <w:tcPr>
            <w:tcW w:w="983" w:type="dxa"/>
            <w:tcBorders>
              <w:top w:val="nil"/>
              <w:left w:val="nil"/>
              <w:bottom w:val="nil"/>
              <w:right w:val="nil"/>
            </w:tcBorders>
            <w:shd w:val="clear" w:color="auto" w:fill="auto"/>
            <w:noWrap/>
            <w:vAlign w:val="bottom"/>
            <w:hideMark/>
          </w:tcPr>
          <w:p w14:paraId="6AF0785A" w14:textId="77777777" w:rsidR="00141FDE" w:rsidRPr="00141FDE" w:rsidRDefault="00141FDE" w:rsidP="00C03EF2">
            <w:pPr>
              <w:spacing w:after="0" w:line="240" w:lineRule="auto"/>
              <w:jc w:val="both"/>
              <w:rPr>
                <w:rFonts w:ascii="Times New Roman" w:eastAsia="Times New Roman" w:hAnsi="Times New Roman" w:cs="Times New Roman"/>
                <w:color w:val="000000"/>
                <w:lang w:eastAsia="pt-BR"/>
              </w:rPr>
            </w:pPr>
            <w:r w:rsidRPr="00141FDE">
              <w:rPr>
                <w:rFonts w:ascii="Times New Roman" w:eastAsia="Times New Roman" w:hAnsi="Times New Roman" w:cs="Times New Roman"/>
                <w:color w:val="000000"/>
                <w:lang w:eastAsia="pt-BR"/>
              </w:rPr>
              <w:t> </w:t>
            </w:r>
          </w:p>
        </w:tc>
      </w:tr>
    </w:tbl>
    <w:p w14:paraId="48B37CD2" w14:textId="77777777" w:rsidR="00141FDE" w:rsidRPr="00623F55" w:rsidRDefault="00141FDE" w:rsidP="00C03EF2">
      <w:pPr>
        <w:pStyle w:val="NormalWeb"/>
        <w:jc w:val="both"/>
      </w:pPr>
      <w:r w:rsidRPr="00623F55">
        <w:t>Duque de Caxias apresenta padrão distinto. O gasto com educação real oscilou bastante, chegando a recuar de R$ 1,060 bilhão em 2015 para R$ 892,8 milhões em 2017, enquanto o IDEB continuou subindo de 4,5 para 4,6. Isso sugere que, para Duque de Caxias, o volume de gasto não é o principal determinante do resultado educacional, pelo menos não de forma linear. A queda simultânea de gasto e IDEB em 2021 (R$ 718,9 milhões e 4,3, respectivamente) reflete novamente o efeito pandemia, mas também levanta questões sobre a eficiência alocativa do gasto educacional no município.</w:t>
      </w:r>
    </w:p>
    <w:p w14:paraId="778C53AD" w14:textId="65EE2E34" w:rsidR="00141FDE" w:rsidRPr="00623F55" w:rsidRDefault="00141FDE" w:rsidP="00C03EF2">
      <w:pPr>
        <w:pStyle w:val="NormalWeb"/>
        <w:jc w:val="both"/>
      </w:pPr>
      <w:r w:rsidRPr="00623F55">
        <w:t>A análise crítica revela que a relação entre gasto e resultado educacional não é simples nem linear. Em Maceió, a correlação é mais visível e consistente até 2019. Em Duque de Caxias, o gasto per capita em educação é significativamente maior em termos absolutos, mas o IDEB é similar ao de Maceió ao longo de todo o período, o que sugere menor eficiência do gasto educacional em Duque de Caxias. Esse resultado é consistente com a literatura de finanças públicas, que aponta que a qualidade da gestão e as condições socioeconômicas do entorno explicam os resultados educacionais tanto quanto, ou mais do que, o volume de recursos investidos.</w:t>
      </w:r>
    </w:p>
    <w:p w14:paraId="7D6F77B9" w14:textId="790D8C13" w:rsidR="00141FDE" w:rsidRPr="00623F55" w:rsidRDefault="00141FDE" w:rsidP="00C03EF2">
      <w:pPr>
        <w:pStyle w:val="NormalWeb"/>
        <w:jc w:val="both"/>
      </w:pPr>
      <w:r w:rsidRPr="00623F55">
        <w:lastRenderedPageBreak/>
        <w:t>Essa conclusão é corroborada pela análise de regressão, que encontrou R² de 0,079 para Maceió e 0,347 para Duque de Caxias, com p-valores de 0,719 e 0,411 respectivamente, ambos acima do limiar de significância estatística de 5%, indicando que o gasto com educação isoladamente não é suficiente para explicar as variações no IDEB em nenhum dos dois municípios.</w:t>
      </w:r>
    </w:p>
    <w:p w14:paraId="17C3A3CD" w14:textId="7B6BF2DB" w:rsidR="008C7C83" w:rsidRPr="00623F55" w:rsidRDefault="008C7C83" w:rsidP="00C03EF2">
      <w:pPr>
        <w:pStyle w:val="NormalWeb"/>
        <w:jc w:val="both"/>
      </w:pPr>
      <w:r w:rsidRPr="00623F55">
        <w:rPr>
          <w:noProof/>
        </w:rPr>
        <w:drawing>
          <wp:inline distT="0" distB="0" distL="0" distR="0" wp14:anchorId="7EBA4578" wp14:editId="395D3166">
            <wp:extent cx="4572000" cy="2743200"/>
            <wp:effectExtent l="0" t="0" r="0" b="0"/>
            <wp:docPr id="6" name="Gráfico 6">
              <a:extLst xmlns:a="http://schemas.openxmlformats.org/drawingml/2006/main">
                <a:ext uri="{FF2B5EF4-FFF2-40B4-BE49-F238E27FC236}">
                  <a16:creationId xmlns:a16="http://schemas.microsoft.com/office/drawing/2014/main" id="{C47C5358-D258-401F-A99A-EC8EE633D0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750ABCC" w14:textId="1875D27D" w:rsidR="008C7C83" w:rsidRPr="00623F55" w:rsidRDefault="008C7C83" w:rsidP="00C03EF2">
      <w:pPr>
        <w:pStyle w:val="NormalWeb"/>
        <w:jc w:val="both"/>
      </w:pPr>
      <w:r w:rsidRPr="00623F55">
        <w:rPr>
          <w:noProof/>
        </w:rPr>
        <w:drawing>
          <wp:inline distT="0" distB="0" distL="0" distR="0" wp14:anchorId="7B18C339" wp14:editId="473CD5F8">
            <wp:extent cx="4572000" cy="2743200"/>
            <wp:effectExtent l="0" t="0" r="0" b="0"/>
            <wp:docPr id="7" name="Gráfico 7">
              <a:extLst xmlns:a="http://schemas.openxmlformats.org/drawingml/2006/main">
                <a:ext uri="{FF2B5EF4-FFF2-40B4-BE49-F238E27FC236}">
                  <a16:creationId xmlns:a16="http://schemas.microsoft.com/office/drawing/2014/main" id="{7B234265-AC34-4947-9E47-E94729E95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540FEFD" w14:textId="0775BF0B" w:rsidR="008C7C83" w:rsidRPr="00623F55" w:rsidRDefault="008C7C83" w:rsidP="00C03EF2">
      <w:pPr>
        <w:pStyle w:val="NormalWeb"/>
        <w:jc w:val="both"/>
      </w:pPr>
      <w:r w:rsidRPr="00623F55">
        <w:rPr>
          <w:b/>
          <w:bCs/>
          <w:color w:val="FF0000"/>
        </w:rPr>
        <w:t xml:space="preserve">ANÁLISE DE REGRESSÃO E GRÁFICO DE DISPERSÃO ESTÃO PRESENTES NO EXCEL. </w:t>
      </w:r>
    </w:p>
    <w:p w14:paraId="6C1B30FC" w14:textId="77777777" w:rsidR="008C7C83" w:rsidRPr="00623F55" w:rsidRDefault="008C7C83" w:rsidP="00C03EF2">
      <w:pPr>
        <w:pStyle w:val="NormalWeb"/>
        <w:jc w:val="both"/>
      </w:pPr>
      <w:r w:rsidRPr="00623F55">
        <w:t>Fontes:</w:t>
      </w:r>
    </w:p>
    <w:p w14:paraId="49917BB5" w14:textId="6E731580" w:rsidR="008C7C83" w:rsidRPr="00623F55" w:rsidRDefault="008C7C83" w:rsidP="00C03EF2">
      <w:pPr>
        <w:pStyle w:val="NormalWeb"/>
        <w:jc w:val="both"/>
      </w:pPr>
      <w:r w:rsidRPr="00623F55">
        <w:t xml:space="preserve">SICONFI/FINBRA, STN: </w:t>
      </w:r>
      <w:hyperlink r:id="rId21" w:history="1">
        <w:r w:rsidRPr="00623F55">
          <w:rPr>
            <w:rStyle w:val="Hyperlink"/>
          </w:rPr>
          <w:t>https://siconfi.tesouro.gov.br/siconfi/pages/public/consulta_finbra/finbra_list.jsf</w:t>
        </w:r>
      </w:hyperlink>
    </w:p>
    <w:p w14:paraId="4B2EC995" w14:textId="79AC5B46" w:rsidR="008C7C83" w:rsidRPr="00623F55" w:rsidRDefault="008C7C83" w:rsidP="00C03EF2">
      <w:pPr>
        <w:pStyle w:val="NormalWeb"/>
        <w:jc w:val="both"/>
      </w:pPr>
      <w:r w:rsidRPr="00623F55">
        <w:t xml:space="preserve">INEP, Resultados IDEB: </w:t>
      </w:r>
      <w:hyperlink r:id="rId22" w:history="1">
        <w:r w:rsidRPr="00623F55">
          <w:rPr>
            <w:rStyle w:val="Hyperlink"/>
          </w:rPr>
          <w:t>https://www.gov.br/inep/pt-br/areas-de-atuacao/pesquisas-estatisticas-e-indicadores/ideb/resultados</w:t>
        </w:r>
      </w:hyperlink>
    </w:p>
    <w:p w14:paraId="2FCBD800" w14:textId="77777777" w:rsidR="00B351B3" w:rsidRPr="00623F55" w:rsidRDefault="008C7C83" w:rsidP="00C03EF2">
      <w:pPr>
        <w:pStyle w:val="NormalWeb"/>
        <w:jc w:val="both"/>
      </w:pPr>
      <w:r w:rsidRPr="00623F55">
        <w:lastRenderedPageBreak/>
        <w:t>Questão 6)</w:t>
      </w:r>
    </w:p>
    <w:p w14:paraId="444648CE" w14:textId="3A2A3F7B" w:rsidR="00B351B3" w:rsidRPr="00623F55" w:rsidRDefault="00B351B3" w:rsidP="00C03EF2">
      <w:pPr>
        <w:pStyle w:val="NormalWeb"/>
        <w:jc w:val="both"/>
      </w:pPr>
      <w:r w:rsidRPr="00623F55">
        <w:t>A Curva de Laffer postula que existe uma relação não linear entre a carga tributária e a arrecadação fiscal, de modo que aumentos sucessivos de alíquotas podem, a partir de certo ponto, reduzir a receita por desestimular a atividade econômica. No contexto municipal brasileiro, a verificação empírica dessa hipótese enfrenta uma limitação estrutural relevante: os municípios não possuem autonomia para variar alíquotas de forma suficientemente ampla entre anos para gerar a variância necessária a um teste formal da curva.</w:t>
      </w:r>
    </w:p>
    <w:p w14:paraId="1A1BD581" w14:textId="65635B9D" w:rsidR="00B351B3" w:rsidRPr="00623F55" w:rsidRDefault="00B351B3" w:rsidP="00C03EF2">
      <w:pPr>
        <w:pStyle w:val="NormalWeb"/>
        <w:jc w:val="both"/>
      </w:pPr>
      <w:r w:rsidRPr="00623F55">
        <w:t>Os dados de Maceió revelam uma trajetória de expansão consistente do esforço fiscal ao longo do período analisado. A proxy de carga tributária cresceu de 2,0784% em 2013 para 3,1991% em 2022, com aceleração perceptível a partir de 2018, quando a receita tributária real começa a superar com mais folga os patamares anteriores à crise fiscal de 2015 e 2016.</w:t>
      </w:r>
      <w:r w:rsidRPr="00623F55">
        <w:br/>
      </w:r>
    </w:p>
    <w:tbl>
      <w:tblPr>
        <w:tblW w:w="5677" w:type="dxa"/>
        <w:tblInd w:w="1843" w:type="dxa"/>
        <w:tblCellMar>
          <w:left w:w="70" w:type="dxa"/>
          <w:right w:w="70" w:type="dxa"/>
        </w:tblCellMar>
        <w:tblLook w:val="04A0" w:firstRow="1" w:lastRow="0" w:firstColumn="1" w:lastColumn="0" w:noHBand="0" w:noVBand="1"/>
      </w:tblPr>
      <w:tblGrid>
        <w:gridCol w:w="685"/>
        <w:gridCol w:w="1840"/>
        <w:gridCol w:w="1812"/>
        <w:gridCol w:w="1340"/>
      </w:tblGrid>
      <w:tr w:rsidR="00B351B3" w:rsidRPr="00B351B3" w14:paraId="30F35EA7" w14:textId="77777777" w:rsidTr="00B351B3">
        <w:trPr>
          <w:trHeight w:val="300"/>
        </w:trPr>
        <w:tc>
          <w:tcPr>
            <w:tcW w:w="5677" w:type="dxa"/>
            <w:gridSpan w:val="4"/>
            <w:tcBorders>
              <w:top w:val="nil"/>
              <w:left w:val="nil"/>
              <w:bottom w:val="nil"/>
              <w:right w:val="nil"/>
            </w:tcBorders>
            <w:shd w:val="clear" w:color="auto" w:fill="auto"/>
            <w:noWrap/>
            <w:vAlign w:val="bottom"/>
            <w:hideMark/>
          </w:tcPr>
          <w:p w14:paraId="38DA7CD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MACEIÓ (CARGA TRIBUTÁRIA PROXY)</w:t>
            </w:r>
          </w:p>
        </w:tc>
      </w:tr>
      <w:tr w:rsidR="00B351B3" w:rsidRPr="00B351B3" w14:paraId="3E0429E7" w14:textId="77777777" w:rsidTr="00B351B3">
        <w:trPr>
          <w:trHeight w:val="1200"/>
        </w:trPr>
        <w:tc>
          <w:tcPr>
            <w:tcW w:w="6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308C2"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ANO</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54F3B705"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RECEITA TRIBUTÁRIA - IPCA (2022)</w:t>
            </w:r>
          </w:p>
        </w:tc>
        <w:tc>
          <w:tcPr>
            <w:tcW w:w="1812" w:type="dxa"/>
            <w:tcBorders>
              <w:top w:val="single" w:sz="4" w:space="0" w:color="auto"/>
              <w:left w:val="nil"/>
              <w:bottom w:val="single" w:sz="4" w:space="0" w:color="auto"/>
              <w:right w:val="single" w:sz="4" w:space="0" w:color="auto"/>
            </w:tcBorders>
            <w:shd w:val="clear" w:color="auto" w:fill="auto"/>
            <w:vAlign w:val="center"/>
            <w:hideMark/>
          </w:tcPr>
          <w:p w14:paraId="24C10BAB"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PIB MUNICIPAL - IPCA (2022)</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1CE9523A"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CARGA (%)</w:t>
            </w:r>
          </w:p>
        </w:tc>
      </w:tr>
      <w:tr w:rsidR="00B351B3" w:rsidRPr="00B351B3" w14:paraId="7FCDA87C"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40C84A8D"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2013</w:t>
            </w:r>
          </w:p>
        </w:tc>
        <w:tc>
          <w:tcPr>
            <w:tcW w:w="1840" w:type="dxa"/>
            <w:tcBorders>
              <w:top w:val="nil"/>
              <w:left w:val="nil"/>
              <w:bottom w:val="single" w:sz="4" w:space="0" w:color="auto"/>
              <w:right w:val="single" w:sz="4" w:space="0" w:color="auto"/>
            </w:tcBorders>
            <w:shd w:val="clear" w:color="auto" w:fill="auto"/>
            <w:vAlign w:val="center"/>
            <w:hideMark/>
          </w:tcPr>
          <w:p w14:paraId="5EE0CF9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584.201.463,83</w:t>
            </w:r>
          </w:p>
        </w:tc>
        <w:tc>
          <w:tcPr>
            <w:tcW w:w="1812" w:type="dxa"/>
            <w:tcBorders>
              <w:top w:val="nil"/>
              <w:left w:val="nil"/>
              <w:bottom w:val="single" w:sz="4" w:space="0" w:color="auto"/>
              <w:right w:val="single" w:sz="4" w:space="0" w:color="auto"/>
            </w:tcBorders>
            <w:shd w:val="clear" w:color="auto" w:fill="auto"/>
            <w:vAlign w:val="center"/>
            <w:hideMark/>
          </w:tcPr>
          <w:p w14:paraId="718817C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28.108.604.686,84</w:t>
            </w:r>
          </w:p>
        </w:tc>
        <w:tc>
          <w:tcPr>
            <w:tcW w:w="1340" w:type="dxa"/>
            <w:tcBorders>
              <w:top w:val="nil"/>
              <w:left w:val="nil"/>
              <w:bottom w:val="single" w:sz="4" w:space="0" w:color="auto"/>
              <w:right w:val="single" w:sz="4" w:space="0" w:color="auto"/>
            </w:tcBorders>
            <w:shd w:val="clear" w:color="auto" w:fill="auto"/>
            <w:vAlign w:val="center"/>
            <w:hideMark/>
          </w:tcPr>
          <w:p w14:paraId="0D047A1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2,08%</w:t>
            </w:r>
          </w:p>
        </w:tc>
      </w:tr>
      <w:tr w:rsidR="00B351B3" w:rsidRPr="00B351B3" w14:paraId="459FFAC9"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0FC5AA37"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2014</w:t>
            </w:r>
          </w:p>
        </w:tc>
        <w:tc>
          <w:tcPr>
            <w:tcW w:w="1840" w:type="dxa"/>
            <w:tcBorders>
              <w:top w:val="nil"/>
              <w:left w:val="nil"/>
              <w:bottom w:val="single" w:sz="4" w:space="0" w:color="auto"/>
              <w:right w:val="single" w:sz="4" w:space="0" w:color="auto"/>
            </w:tcBorders>
            <w:shd w:val="clear" w:color="auto" w:fill="auto"/>
            <w:vAlign w:val="center"/>
            <w:hideMark/>
          </w:tcPr>
          <w:p w14:paraId="2D1FBB8D"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635.369.485,88</w:t>
            </w:r>
          </w:p>
        </w:tc>
        <w:tc>
          <w:tcPr>
            <w:tcW w:w="1812" w:type="dxa"/>
            <w:tcBorders>
              <w:top w:val="nil"/>
              <w:left w:val="nil"/>
              <w:bottom w:val="single" w:sz="4" w:space="0" w:color="auto"/>
              <w:right w:val="single" w:sz="4" w:space="0" w:color="auto"/>
            </w:tcBorders>
            <w:shd w:val="clear" w:color="auto" w:fill="auto"/>
            <w:vAlign w:val="center"/>
            <w:hideMark/>
          </w:tcPr>
          <w:p w14:paraId="356AD336"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29.458.887.479,58</w:t>
            </w:r>
          </w:p>
        </w:tc>
        <w:tc>
          <w:tcPr>
            <w:tcW w:w="1340" w:type="dxa"/>
            <w:tcBorders>
              <w:top w:val="nil"/>
              <w:left w:val="nil"/>
              <w:bottom w:val="single" w:sz="4" w:space="0" w:color="auto"/>
              <w:right w:val="single" w:sz="4" w:space="0" w:color="auto"/>
            </w:tcBorders>
            <w:shd w:val="clear" w:color="auto" w:fill="auto"/>
            <w:vAlign w:val="center"/>
            <w:hideMark/>
          </w:tcPr>
          <w:p w14:paraId="5E3580ED"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2,16%</w:t>
            </w:r>
          </w:p>
        </w:tc>
      </w:tr>
      <w:tr w:rsidR="00B351B3" w:rsidRPr="00B351B3" w14:paraId="64434B2C"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2564C01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2015</w:t>
            </w:r>
          </w:p>
        </w:tc>
        <w:tc>
          <w:tcPr>
            <w:tcW w:w="1840" w:type="dxa"/>
            <w:tcBorders>
              <w:top w:val="nil"/>
              <w:left w:val="nil"/>
              <w:bottom w:val="single" w:sz="4" w:space="0" w:color="auto"/>
              <w:right w:val="single" w:sz="4" w:space="0" w:color="auto"/>
            </w:tcBorders>
            <w:shd w:val="clear" w:color="auto" w:fill="auto"/>
            <w:vAlign w:val="center"/>
            <w:hideMark/>
          </w:tcPr>
          <w:p w14:paraId="25293E38"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621.219.362,04</w:t>
            </w:r>
          </w:p>
        </w:tc>
        <w:tc>
          <w:tcPr>
            <w:tcW w:w="1812" w:type="dxa"/>
            <w:tcBorders>
              <w:top w:val="nil"/>
              <w:left w:val="nil"/>
              <w:bottom w:val="single" w:sz="4" w:space="0" w:color="auto"/>
              <w:right w:val="single" w:sz="4" w:space="0" w:color="auto"/>
            </w:tcBorders>
            <w:shd w:val="clear" w:color="auto" w:fill="auto"/>
            <w:vAlign w:val="center"/>
            <w:hideMark/>
          </w:tcPr>
          <w:p w14:paraId="3A44AF5A"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31.357.849.451,04</w:t>
            </w:r>
          </w:p>
        </w:tc>
        <w:tc>
          <w:tcPr>
            <w:tcW w:w="1340" w:type="dxa"/>
            <w:tcBorders>
              <w:top w:val="nil"/>
              <w:left w:val="nil"/>
              <w:bottom w:val="single" w:sz="4" w:space="0" w:color="auto"/>
              <w:right w:val="single" w:sz="4" w:space="0" w:color="auto"/>
            </w:tcBorders>
            <w:shd w:val="clear" w:color="auto" w:fill="auto"/>
            <w:vAlign w:val="center"/>
            <w:hideMark/>
          </w:tcPr>
          <w:p w14:paraId="7807F4B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1,98%</w:t>
            </w:r>
          </w:p>
        </w:tc>
      </w:tr>
      <w:tr w:rsidR="00B351B3" w:rsidRPr="00B351B3" w14:paraId="7C39D501"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04A7B03A"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2016</w:t>
            </w:r>
          </w:p>
        </w:tc>
        <w:tc>
          <w:tcPr>
            <w:tcW w:w="1840" w:type="dxa"/>
            <w:tcBorders>
              <w:top w:val="nil"/>
              <w:left w:val="nil"/>
              <w:bottom w:val="single" w:sz="4" w:space="0" w:color="auto"/>
              <w:right w:val="single" w:sz="4" w:space="0" w:color="auto"/>
            </w:tcBorders>
            <w:shd w:val="clear" w:color="auto" w:fill="auto"/>
            <w:vAlign w:val="center"/>
            <w:hideMark/>
          </w:tcPr>
          <w:p w14:paraId="3020615C"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576.450.222,39</w:t>
            </w:r>
          </w:p>
        </w:tc>
        <w:tc>
          <w:tcPr>
            <w:tcW w:w="1812" w:type="dxa"/>
            <w:tcBorders>
              <w:top w:val="nil"/>
              <w:left w:val="nil"/>
              <w:bottom w:val="single" w:sz="4" w:space="0" w:color="auto"/>
              <w:right w:val="single" w:sz="4" w:space="0" w:color="auto"/>
            </w:tcBorders>
            <w:shd w:val="clear" w:color="auto" w:fill="auto"/>
            <w:vAlign w:val="center"/>
            <w:hideMark/>
          </w:tcPr>
          <w:p w14:paraId="6543DA6A"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29.176.029.944,16</w:t>
            </w:r>
          </w:p>
        </w:tc>
        <w:tc>
          <w:tcPr>
            <w:tcW w:w="1340" w:type="dxa"/>
            <w:tcBorders>
              <w:top w:val="nil"/>
              <w:left w:val="nil"/>
              <w:bottom w:val="single" w:sz="4" w:space="0" w:color="auto"/>
              <w:right w:val="single" w:sz="4" w:space="0" w:color="auto"/>
            </w:tcBorders>
            <w:shd w:val="clear" w:color="auto" w:fill="auto"/>
            <w:vAlign w:val="center"/>
            <w:hideMark/>
          </w:tcPr>
          <w:p w14:paraId="771F0619"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1,98%</w:t>
            </w:r>
          </w:p>
        </w:tc>
      </w:tr>
      <w:tr w:rsidR="00B351B3" w:rsidRPr="00B351B3" w14:paraId="225CB779"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51AD852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2017</w:t>
            </w:r>
          </w:p>
        </w:tc>
        <w:tc>
          <w:tcPr>
            <w:tcW w:w="1840" w:type="dxa"/>
            <w:tcBorders>
              <w:top w:val="nil"/>
              <w:left w:val="nil"/>
              <w:bottom w:val="single" w:sz="4" w:space="0" w:color="auto"/>
              <w:right w:val="single" w:sz="4" w:space="0" w:color="auto"/>
            </w:tcBorders>
            <w:shd w:val="clear" w:color="auto" w:fill="auto"/>
            <w:vAlign w:val="center"/>
            <w:hideMark/>
          </w:tcPr>
          <w:p w14:paraId="08DA9B9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617.157.160,70</w:t>
            </w:r>
          </w:p>
        </w:tc>
        <w:tc>
          <w:tcPr>
            <w:tcW w:w="1812" w:type="dxa"/>
            <w:tcBorders>
              <w:top w:val="nil"/>
              <w:left w:val="nil"/>
              <w:bottom w:val="single" w:sz="4" w:space="0" w:color="auto"/>
              <w:right w:val="single" w:sz="4" w:space="0" w:color="auto"/>
            </w:tcBorders>
            <w:shd w:val="clear" w:color="auto" w:fill="auto"/>
            <w:vAlign w:val="center"/>
            <w:hideMark/>
          </w:tcPr>
          <w:p w14:paraId="458EAE17"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28.141.319.840,69</w:t>
            </w:r>
          </w:p>
        </w:tc>
        <w:tc>
          <w:tcPr>
            <w:tcW w:w="1340" w:type="dxa"/>
            <w:tcBorders>
              <w:top w:val="nil"/>
              <w:left w:val="nil"/>
              <w:bottom w:val="single" w:sz="4" w:space="0" w:color="auto"/>
              <w:right w:val="single" w:sz="4" w:space="0" w:color="auto"/>
            </w:tcBorders>
            <w:shd w:val="clear" w:color="auto" w:fill="auto"/>
            <w:vAlign w:val="center"/>
            <w:hideMark/>
          </w:tcPr>
          <w:p w14:paraId="0DB98CD6"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2,19%</w:t>
            </w:r>
          </w:p>
        </w:tc>
      </w:tr>
      <w:tr w:rsidR="00B351B3" w:rsidRPr="00B351B3" w14:paraId="7E35F50F"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59F76C9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2018</w:t>
            </w:r>
          </w:p>
        </w:tc>
        <w:tc>
          <w:tcPr>
            <w:tcW w:w="1840" w:type="dxa"/>
            <w:tcBorders>
              <w:top w:val="nil"/>
              <w:left w:val="nil"/>
              <w:bottom w:val="single" w:sz="4" w:space="0" w:color="auto"/>
              <w:right w:val="single" w:sz="4" w:space="0" w:color="auto"/>
            </w:tcBorders>
            <w:shd w:val="clear" w:color="auto" w:fill="auto"/>
            <w:vAlign w:val="center"/>
            <w:hideMark/>
          </w:tcPr>
          <w:p w14:paraId="040E5360"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689.345.152,20</w:t>
            </w:r>
          </w:p>
        </w:tc>
        <w:tc>
          <w:tcPr>
            <w:tcW w:w="1812" w:type="dxa"/>
            <w:tcBorders>
              <w:top w:val="nil"/>
              <w:left w:val="nil"/>
              <w:bottom w:val="single" w:sz="4" w:space="0" w:color="auto"/>
              <w:right w:val="single" w:sz="4" w:space="0" w:color="auto"/>
            </w:tcBorders>
            <w:shd w:val="clear" w:color="auto" w:fill="auto"/>
            <w:vAlign w:val="center"/>
            <w:hideMark/>
          </w:tcPr>
          <w:p w14:paraId="34A12DE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28.030.747.541,37</w:t>
            </w:r>
          </w:p>
        </w:tc>
        <w:tc>
          <w:tcPr>
            <w:tcW w:w="1340" w:type="dxa"/>
            <w:tcBorders>
              <w:top w:val="nil"/>
              <w:left w:val="nil"/>
              <w:bottom w:val="single" w:sz="4" w:space="0" w:color="auto"/>
              <w:right w:val="single" w:sz="4" w:space="0" w:color="auto"/>
            </w:tcBorders>
            <w:shd w:val="clear" w:color="auto" w:fill="auto"/>
            <w:vAlign w:val="center"/>
            <w:hideMark/>
          </w:tcPr>
          <w:p w14:paraId="266B520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2,46%</w:t>
            </w:r>
          </w:p>
        </w:tc>
      </w:tr>
      <w:tr w:rsidR="00B351B3" w:rsidRPr="00B351B3" w14:paraId="125ADFEE"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77073496"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2019</w:t>
            </w:r>
          </w:p>
        </w:tc>
        <w:tc>
          <w:tcPr>
            <w:tcW w:w="1840" w:type="dxa"/>
            <w:tcBorders>
              <w:top w:val="nil"/>
              <w:left w:val="nil"/>
              <w:bottom w:val="single" w:sz="4" w:space="0" w:color="auto"/>
              <w:right w:val="single" w:sz="4" w:space="0" w:color="auto"/>
            </w:tcBorders>
            <w:shd w:val="clear" w:color="auto" w:fill="auto"/>
            <w:vAlign w:val="center"/>
            <w:hideMark/>
          </w:tcPr>
          <w:p w14:paraId="6A794D4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702.795.554,50</w:t>
            </w:r>
          </w:p>
        </w:tc>
        <w:tc>
          <w:tcPr>
            <w:tcW w:w="1812" w:type="dxa"/>
            <w:tcBorders>
              <w:top w:val="nil"/>
              <w:left w:val="nil"/>
              <w:bottom w:val="single" w:sz="4" w:space="0" w:color="auto"/>
              <w:right w:val="single" w:sz="4" w:space="0" w:color="auto"/>
            </w:tcBorders>
            <w:shd w:val="clear" w:color="auto" w:fill="auto"/>
            <w:vAlign w:val="center"/>
            <w:hideMark/>
          </w:tcPr>
          <w:p w14:paraId="4A97C26A"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28.188.629.421,94</w:t>
            </w:r>
          </w:p>
        </w:tc>
        <w:tc>
          <w:tcPr>
            <w:tcW w:w="1340" w:type="dxa"/>
            <w:tcBorders>
              <w:top w:val="nil"/>
              <w:left w:val="nil"/>
              <w:bottom w:val="single" w:sz="4" w:space="0" w:color="auto"/>
              <w:right w:val="single" w:sz="4" w:space="0" w:color="auto"/>
            </w:tcBorders>
            <w:shd w:val="clear" w:color="auto" w:fill="auto"/>
            <w:vAlign w:val="center"/>
            <w:hideMark/>
          </w:tcPr>
          <w:p w14:paraId="3B0A39DE"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2,49%</w:t>
            </w:r>
          </w:p>
        </w:tc>
      </w:tr>
      <w:tr w:rsidR="00B351B3" w:rsidRPr="00B351B3" w14:paraId="7D06EE45"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434D5E9D"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2020</w:t>
            </w:r>
          </w:p>
        </w:tc>
        <w:tc>
          <w:tcPr>
            <w:tcW w:w="1840" w:type="dxa"/>
            <w:tcBorders>
              <w:top w:val="nil"/>
              <w:left w:val="nil"/>
              <w:bottom w:val="single" w:sz="4" w:space="0" w:color="auto"/>
              <w:right w:val="single" w:sz="4" w:space="0" w:color="auto"/>
            </w:tcBorders>
            <w:shd w:val="clear" w:color="auto" w:fill="auto"/>
            <w:vAlign w:val="center"/>
            <w:hideMark/>
          </w:tcPr>
          <w:p w14:paraId="0A338CD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748.407.400,26</w:t>
            </w:r>
          </w:p>
        </w:tc>
        <w:tc>
          <w:tcPr>
            <w:tcW w:w="1812" w:type="dxa"/>
            <w:tcBorders>
              <w:top w:val="nil"/>
              <w:left w:val="nil"/>
              <w:bottom w:val="single" w:sz="4" w:space="0" w:color="auto"/>
              <w:right w:val="single" w:sz="4" w:space="0" w:color="auto"/>
            </w:tcBorders>
            <w:shd w:val="clear" w:color="auto" w:fill="auto"/>
            <w:vAlign w:val="center"/>
            <w:hideMark/>
          </w:tcPr>
          <w:p w14:paraId="76B006B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26.514.863.121,60</w:t>
            </w:r>
          </w:p>
        </w:tc>
        <w:tc>
          <w:tcPr>
            <w:tcW w:w="1340" w:type="dxa"/>
            <w:tcBorders>
              <w:top w:val="nil"/>
              <w:left w:val="nil"/>
              <w:bottom w:val="single" w:sz="4" w:space="0" w:color="auto"/>
              <w:right w:val="single" w:sz="4" w:space="0" w:color="auto"/>
            </w:tcBorders>
            <w:shd w:val="clear" w:color="auto" w:fill="auto"/>
            <w:vAlign w:val="center"/>
            <w:hideMark/>
          </w:tcPr>
          <w:p w14:paraId="59FDEA00"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2,82%</w:t>
            </w:r>
          </w:p>
        </w:tc>
      </w:tr>
      <w:tr w:rsidR="00B351B3" w:rsidRPr="00B351B3" w14:paraId="3B8DAA08"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0DEFB8F7"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2021</w:t>
            </w:r>
          </w:p>
        </w:tc>
        <w:tc>
          <w:tcPr>
            <w:tcW w:w="1840" w:type="dxa"/>
            <w:tcBorders>
              <w:top w:val="nil"/>
              <w:left w:val="nil"/>
              <w:bottom w:val="single" w:sz="4" w:space="0" w:color="auto"/>
              <w:right w:val="single" w:sz="4" w:space="0" w:color="auto"/>
            </w:tcBorders>
            <w:shd w:val="clear" w:color="auto" w:fill="auto"/>
            <w:vAlign w:val="center"/>
            <w:hideMark/>
          </w:tcPr>
          <w:p w14:paraId="4097A4C9"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830.489.007,19</w:t>
            </w:r>
          </w:p>
        </w:tc>
        <w:tc>
          <w:tcPr>
            <w:tcW w:w="1812" w:type="dxa"/>
            <w:tcBorders>
              <w:top w:val="nil"/>
              <w:left w:val="nil"/>
              <w:bottom w:val="single" w:sz="4" w:space="0" w:color="auto"/>
              <w:right w:val="single" w:sz="4" w:space="0" w:color="auto"/>
            </w:tcBorders>
            <w:shd w:val="clear" w:color="auto" w:fill="auto"/>
            <w:vAlign w:val="center"/>
            <w:hideMark/>
          </w:tcPr>
          <w:p w14:paraId="149990A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30.413.974.943,94</w:t>
            </w:r>
          </w:p>
        </w:tc>
        <w:tc>
          <w:tcPr>
            <w:tcW w:w="1340" w:type="dxa"/>
            <w:tcBorders>
              <w:top w:val="nil"/>
              <w:left w:val="nil"/>
              <w:bottom w:val="single" w:sz="4" w:space="0" w:color="auto"/>
              <w:right w:val="single" w:sz="4" w:space="0" w:color="auto"/>
            </w:tcBorders>
            <w:shd w:val="clear" w:color="auto" w:fill="auto"/>
            <w:vAlign w:val="center"/>
            <w:hideMark/>
          </w:tcPr>
          <w:p w14:paraId="62503EF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2,73%</w:t>
            </w:r>
          </w:p>
        </w:tc>
      </w:tr>
      <w:tr w:rsidR="00B351B3" w:rsidRPr="00B351B3" w14:paraId="0B201289" w14:textId="77777777" w:rsidTr="00B351B3">
        <w:trPr>
          <w:trHeight w:val="300"/>
        </w:trPr>
        <w:tc>
          <w:tcPr>
            <w:tcW w:w="685" w:type="dxa"/>
            <w:tcBorders>
              <w:top w:val="nil"/>
              <w:left w:val="single" w:sz="4" w:space="0" w:color="auto"/>
              <w:bottom w:val="single" w:sz="4" w:space="0" w:color="auto"/>
              <w:right w:val="single" w:sz="4" w:space="0" w:color="auto"/>
            </w:tcBorders>
            <w:shd w:val="clear" w:color="auto" w:fill="auto"/>
            <w:vAlign w:val="center"/>
            <w:hideMark/>
          </w:tcPr>
          <w:p w14:paraId="44C0D63D"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2022</w:t>
            </w:r>
          </w:p>
        </w:tc>
        <w:tc>
          <w:tcPr>
            <w:tcW w:w="1840" w:type="dxa"/>
            <w:tcBorders>
              <w:top w:val="nil"/>
              <w:left w:val="nil"/>
              <w:bottom w:val="single" w:sz="4" w:space="0" w:color="auto"/>
              <w:right w:val="single" w:sz="4" w:space="0" w:color="auto"/>
            </w:tcBorders>
            <w:shd w:val="clear" w:color="auto" w:fill="auto"/>
            <w:vAlign w:val="center"/>
            <w:hideMark/>
          </w:tcPr>
          <w:p w14:paraId="34E7BA2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945.034.303,05</w:t>
            </w:r>
          </w:p>
        </w:tc>
        <w:tc>
          <w:tcPr>
            <w:tcW w:w="1812" w:type="dxa"/>
            <w:tcBorders>
              <w:top w:val="nil"/>
              <w:left w:val="nil"/>
              <w:bottom w:val="single" w:sz="4" w:space="0" w:color="auto"/>
              <w:right w:val="single" w:sz="4" w:space="0" w:color="auto"/>
            </w:tcBorders>
            <w:shd w:val="clear" w:color="auto" w:fill="auto"/>
            <w:vAlign w:val="center"/>
            <w:hideMark/>
          </w:tcPr>
          <w:p w14:paraId="38DC40E8"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29.540.502.328,11</w:t>
            </w:r>
          </w:p>
        </w:tc>
        <w:tc>
          <w:tcPr>
            <w:tcW w:w="1340" w:type="dxa"/>
            <w:tcBorders>
              <w:top w:val="nil"/>
              <w:left w:val="nil"/>
              <w:bottom w:val="single" w:sz="4" w:space="0" w:color="auto"/>
              <w:right w:val="single" w:sz="4" w:space="0" w:color="auto"/>
            </w:tcBorders>
            <w:shd w:val="clear" w:color="auto" w:fill="auto"/>
            <w:vAlign w:val="center"/>
            <w:hideMark/>
          </w:tcPr>
          <w:p w14:paraId="74B2D19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3,20%</w:t>
            </w:r>
          </w:p>
        </w:tc>
      </w:tr>
    </w:tbl>
    <w:p w14:paraId="59504B15" w14:textId="77777777" w:rsidR="00B351B3" w:rsidRPr="00623F55" w:rsidRDefault="00B351B3" w:rsidP="00C03EF2">
      <w:pPr>
        <w:pStyle w:val="NormalWeb"/>
        <w:jc w:val="both"/>
      </w:pPr>
      <w:r w:rsidRPr="00623F55">
        <w:t xml:space="preserve"> A trajetória da carga em Maceió é de crescimento quase ininterrupto, com uma única interrupção em 2015 e 2016, anos marcados pela recessão nacional e pela crise fiscal do estado de Alagoas, que impactaram negativamente as transferências e, indiretamente, a base econômica local. A partir de 2018, a recuperação é consistente, culminando no pico de 3,1991% em 2022, o maior valor da série. Esse comportamento posiciona Maceió predominantemente no trecho ascendente da Curva de Laffer durante todo o período: aumentos de esforço fiscal foram acompanhados de crescimento proporcional da receita, sem qualquer sinal de retorno decrescente.</w:t>
      </w:r>
    </w:p>
    <w:p w14:paraId="2C045556" w14:textId="77777777" w:rsidR="00B351B3" w:rsidRPr="00623F55" w:rsidRDefault="00B351B3" w:rsidP="00C03EF2">
      <w:pPr>
        <w:pStyle w:val="NormalWeb"/>
        <w:jc w:val="both"/>
      </w:pPr>
      <w:r w:rsidRPr="00623F55">
        <w:t>A regressão polinomial de grau 2 estimada sobre as 10 observações disponíveis, com a forma Receita Tributária = β₀ + β₁ × Carga + β₂ × Carga², apresentou R² = 0,931 e p-valor global de F = 0,0003, indicando excelente aderência do modelo e que a variação da carga tributária explica 93,1% da variação da receita no período. O coeficiente β₂ estimado foi positivo, confirmando que a curva permanece em seu trecho crescente e que não há evidência empírica de ponto de inflexão dentro da faixa de carga observada.</w:t>
      </w:r>
    </w:p>
    <w:p w14:paraId="6CEEC6B8" w14:textId="7AD8D58B" w:rsidR="00B351B3" w:rsidRPr="00623F55" w:rsidRDefault="00B351B3" w:rsidP="00C03EF2">
      <w:pPr>
        <w:pStyle w:val="NormalWeb"/>
        <w:jc w:val="both"/>
      </w:pPr>
      <w:r w:rsidRPr="00623F55">
        <w:lastRenderedPageBreak/>
        <w:t>O perfil de Duque de Caxias é estruturalmente distinto. A proxy de carga tributária oscilou sem tendência clara ao longo do período, variando entre o mínimo de 1,1284% em 2016 e o máximo de 1,6587% em 2013, com trajetória errática intermediária. Essa menor variância reflete, em grande medida, a dependência estrutural do município em relação às receitas de royalties e ICMS sobre petróleo, que elevam o PIB municipal a patamares muito superiores à capacidade de arrecadação tributária própria, diluindo a proxy de esforço fiscal.</w:t>
      </w:r>
    </w:p>
    <w:p w14:paraId="49EC668A" w14:textId="77777777" w:rsidR="00B351B3" w:rsidRPr="00623F55" w:rsidRDefault="00B351B3" w:rsidP="00C03EF2">
      <w:pPr>
        <w:pStyle w:val="NormalWeb"/>
        <w:jc w:val="both"/>
      </w:pPr>
      <w:r w:rsidRPr="00623F55">
        <w:t xml:space="preserve"> </w:t>
      </w:r>
    </w:p>
    <w:tbl>
      <w:tblPr>
        <w:tblW w:w="5915" w:type="dxa"/>
        <w:tblInd w:w="1289" w:type="dxa"/>
        <w:tblCellMar>
          <w:left w:w="70" w:type="dxa"/>
          <w:right w:w="70" w:type="dxa"/>
        </w:tblCellMar>
        <w:tblLook w:val="04A0" w:firstRow="1" w:lastRow="0" w:firstColumn="1" w:lastColumn="0" w:noHBand="0" w:noVBand="1"/>
      </w:tblPr>
      <w:tblGrid>
        <w:gridCol w:w="635"/>
        <w:gridCol w:w="1916"/>
        <w:gridCol w:w="2268"/>
        <w:gridCol w:w="1096"/>
      </w:tblGrid>
      <w:tr w:rsidR="00B351B3" w:rsidRPr="00B351B3" w14:paraId="1F2E6248" w14:textId="77777777" w:rsidTr="00B351B3">
        <w:trPr>
          <w:trHeight w:val="300"/>
        </w:trPr>
        <w:tc>
          <w:tcPr>
            <w:tcW w:w="5915" w:type="dxa"/>
            <w:gridSpan w:val="4"/>
            <w:tcBorders>
              <w:top w:val="nil"/>
              <w:left w:val="nil"/>
              <w:bottom w:val="nil"/>
              <w:right w:val="nil"/>
            </w:tcBorders>
            <w:shd w:val="clear" w:color="auto" w:fill="auto"/>
            <w:noWrap/>
            <w:vAlign w:val="bottom"/>
            <w:hideMark/>
          </w:tcPr>
          <w:p w14:paraId="0D26A90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DUQUE DE CAXIAS (CARGA TRIBUTÁRIA PROXY)</w:t>
            </w:r>
          </w:p>
        </w:tc>
      </w:tr>
      <w:tr w:rsidR="00B351B3" w:rsidRPr="00B351B3" w14:paraId="4365A4CB" w14:textId="77777777" w:rsidTr="00B351B3">
        <w:trPr>
          <w:trHeight w:val="1200"/>
        </w:trPr>
        <w:tc>
          <w:tcPr>
            <w:tcW w:w="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D329B"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ANO</w:t>
            </w:r>
          </w:p>
        </w:tc>
        <w:tc>
          <w:tcPr>
            <w:tcW w:w="1916" w:type="dxa"/>
            <w:tcBorders>
              <w:top w:val="single" w:sz="4" w:space="0" w:color="auto"/>
              <w:left w:val="nil"/>
              <w:bottom w:val="single" w:sz="4" w:space="0" w:color="auto"/>
              <w:right w:val="single" w:sz="4" w:space="0" w:color="auto"/>
            </w:tcBorders>
            <w:shd w:val="clear" w:color="auto" w:fill="auto"/>
            <w:vAlign w:val="center"/>
            <w:hideMark/>
          </w:tcPr>
          <w:p w14:paraId="4B0B44F7"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RECEITA TRIBUTÁRIA - IPCA (2022)</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0A619DB6"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PIB MUNICIPAL - IPCA (2022)</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14:paraId="5DEC0AC2" w14:textId="77777777" w:rsidR="00B351B3" w:rsidRPr="00B351B3" w:rsidRDefault="00B351B3" w:rsidP="00C03EF2">
            <w:pPr>
              <w:spacing w:after="0" w:line="240" w:lineRule="auto"/>
              <w:jc w:val="both"/>
              <w:rPr>
                <w:rFonts w:ascii="Times New Roman" w:eastAsia="Times New Roman" w:hAnsi="Times New Roman" w:cs="Times New Roman"/>
                <w:b/>
                <w:bCs/>
                <w:color w:val="000000"/>
                <w:lang w:eastAsia="pt-BR"/>
              </w:rPr>
            </w:pPr>
            <w:r w:rsidRPr="00B351B3">
              <w:rPr>
                <w:rFonts w:ascii="Times New Roman" w:eastAsia="Times New Roman" w:hAnsi="Times New Roman" w:cs="Times New Roman"/>
                <w:b/>
                <w:bCs/>
                <w:color w:val="000000"/>
                <w:lang w:eastAsia="pt-BR"/>
              </w:rPr>
              <w:t>CARGA (%)</w:t>
            </w:r>
          </w:p>
        </w:tc>
      </w:tr>
      <w:tr w:rsidR="00B351B3" w:rsidRPr="00B351B3" w14:paraId="7AC899FF"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2D6FE44D"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2013</w:t>
            </w:r>
          </w:p>
        </w:tc>
        <w:tc>
          <w:tcPr>
            <w:tcW w:w="1916" w:type="dxa"/>
            <w:tcBorders>
              <w:top w:val="nil"/>
              <w:left w:val="nil"/>
              <w:bottom w:val="single" w:sz="4" w:space="0" w:color="auto"/>
              <w:right w:val="single" w:sz="4" w:space="0" w:color="auto"/>
            </w:tcBorders>
            <w:shd w:val="clear" w:color="auto" w:fill="auto"/>
            <w:vAlign w:val="center"/>
            <w:hideMark/>
          </w:tcPr>
          <w:p w14:paraId="38962EAC"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704.176.487,14 </w:t>
            </w:r>
          </w:p>
        </w:tc>
        <w:tc>
          <w:tcPr>
            <w:tcW w:w="2268" w:type="dxa"/>
            <w:tcBorders>
              <w:top w:val="nil"/>
              <w:left w:val="nil"/>
              <w:bottom w:val="single" w:sz="4" w:space="0" w:color="auto"/>
              <w:right w:val="single" w:sz="4" w:space="0" w:color="auto"/>
            </w:tcBorders>
            <w:shd w:val="clear" w:color="auto" w:fill="auto"/>
            <w:vAlign w:val="center"/>
            <w:hideMark/>
          </w:tcPr>
          <w:p w14:paraId="7489480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42.453.565.312,66 </w:t>
            </w:r>
          </w:p>
        </w:tc>
        <w:tc>
          <w:tcPr>
            <w:tcW w:w="1096" w:type="dxa"/>
            <w:tcBorders>
              <w:top w:val="nil"/>
              <w:left w:val="nil"/>
              <w:bottom w:val="single" w:sz="4" w:space="0" w:color="auto"/>
              <w:right w:val="single" w:sz="4" w:space="0" w:color="auto"/>
            </w:tcBorders>
            <w:shd w:val="clear" w:color="auto" w:fill="auto"/>
            <w:vAlign w:val="center"/>
            <w:hideMark/>
          </w:tcPr>
          <w:p w14:paraId="519C7886"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1,66%</w:t>
            </w:r>
          </w:p>
        </w:tc>
      </w:tr>
      <w:tr w:rsidR="00B351B3" w:rsidRPr="00B351B3" w14:paraId="7BEB281A"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7CC8CC5C"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2014</w:t>
            </w:r>
          </w:p>
        </w:tc>
        <w:tc>
          <w:tcPr>
            <w:tcW w:w="1916" w:type="dxa"/>
            <w:tcBorders>
              <w:top w:val="nil"/>
              <w:left w:val="nil"/>
              <w:bottom w:val="single" w:sz="4" w:space="0" w:color="auto"/>
              <w:right w:val="single" w:sz="4" w:space="0" w:color="auto"/>
            </w:tcBorders>
            <w:shd w:val="clear" w:color="auto" w:fill="auto"/>
            <w:vAlign w:val="center"/>
            <w:hideMark/>
          </w:tcPr>
          <w:p w14:paraId="3E54E806"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730.078.531,09 </w:t>
            </w:r>
          </w:p>
        </w:tc>
        <w:tc>
          <w:tcPr>
            <w:tcW w:w="2268" w:type="dxa"/>
            <w:tcBorders>
              <w:top w:val="nil"/>
              <w:left w:val="nil"/>
              <w:bottom w:val="single" w:sz="4" w:space="0" w:color="auto"/>
              <w:right w:val="single" w:sz="4" w:space="0" w:color="auto"/>
            </w:tcBorders>
            <w:shd w:val="clear" w:color="auto" w:fill="auto"/>
            <w:vAlign w:val="center"/>
            <w:hideMark/>
          </w:tcPr>
          <w:p w14:paraId="5A55F8B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46.547.278.448,32 </w:t>
            </w:r>
          </w:p>
        </w:tc>
        <w:tc>
          <w:tcPr>
            <w:tcW w:w="1096" w:type="dxa"/>
            <w:tcBorders>
              <w:top w:val="nil"/>
              <w:left w:val="nil"/>
              <w:bottom w:val="single" w:sz="4" w:space="0" w:color="auto"/>
              <w:right w:val="single" w:sz="4" w:space="0" w:color="auto"/>
            </w:tcBorders>
            <w:shd w:val="clear" w:color="auto" w:fill="auto"/>
            <w:vAlign w:val="center"/>
            <w:hideMark/>
          </w:tcPr>
          <w:p w14:paraId="2F3413D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1,57%</w:t>
            </w:r>
          </w:p>
        </w:tc>
      </w:tr>
      <w:tr w:rsidR="00B351B3" w:rsidRPr="00B351B3" w14:paraId="4E7A9481"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076E6256"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2015</w:t>
            </w:r>
          </w:p>
        </w:tc>
        <w:tc>
          <w:tcPr>
            <w:tcW w:w="1916" w:type="dxa"/>
            <w:tcBorders>
              <w:top w:val="nil"/>
              <w:left w:val="nil"/>
              <w:bottom w:val="single" w:sz="4" w:space="0" w:color="auto"/>
              <w:right w:val="single" w:sz="4" w:space="0" w:color="auto"/>
            </w:tcBorders>
            <w:shd w:val="clear" w:color="auto" w:fill="auto"/>
            <w:vAlign w:val="center"/>
            <w:hideMark/>
          </w:tcPr>
          <w:p w14:paraId="30BF3E8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753.418.620,88 </w:t>
            </w:r>
          </w:p>
        </w:tc>
        <w:tc>
          <w:tcPr>
            <w:tcW w:w="2268" w:type="dxa"/>
            <w:tcBorders>
              <w:top w:val="nil"/>
              <w:left w:val="nil"/>
              <w:bottom w:val="single" w:sz="4" w:space="0" w:color="auto"/>
              <w:right w:val="single" w:sz="4" w:space="0" w:color="auto"/>
            </w:tcBorders>
            <w:shd w:val="clear" w:color="auto" w:fill="auto"/>
            <w:vAlign w:val="center"/>
            <w:hideMark/>
          </w:tcPr>
          <w:p w14:paraId="33CDBCB8"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53.492.035.059,87 </w:t>
            </w:r>
          </w:p>
        </w:tc>
        <w:tc>
          <w:tcPr>
            <w:tcW w:w="1096" w:type="dxa"/>
            <w:tcBorders>
              <w:top w:val="nil"/>
              <w:left w:val="nil"/>
              <w:bottom w:val="single" w:sz="4" w:space="0" w:color="auto"/>
              <w:right w:val="single" w:sz="4" w:space="0" w:color="auto"/>
            </w:tcBorders>
            <w:shd w:val="clear" w:color="auto" w:fill="auto"/>
            <w:vAlign w:val="center"/>
            <w:hideMark/>
          </w:tcPr>
          <w:p w14:paraId="76CDC139"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1,41%</w:t>
            </w:r>
          </w:p>
        </w:tc>
      </w:tr>
      <w:tr w:rsidR="00B351B3" w:rsidRPr="00B351B3" w14:paraId="2220D2F2"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4F9FE8D0"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2016</w:t>
            </w:r>
          </w:p>
        </w:tc>
        <w:tc>
          <w:tcPr>
            <w:tcW w:w="1916" w:type="dxa"/>
            <w:tcBorders>
              <w:top w:val="nil"/>
              <w:left w:val="nil"/>
              <w:bottom w:val="single" w:sz="4" w:space="0" w:color="auto"/>
              <w:right w:val="single" w:sz="4" w:space="0" w:color="auto"/>
            </w:tcBorders>
            <w:shd w:val="clear" w:color="auto" w:fill="auto"/>
            <w:vAlign w:val="center"/>
            <w:hideMark/>
          </w:tcPr>
          <w:p w14:paraId="44B3462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641.911.823,06 </w:t>
            </w:r>
          </w:p>
        </w:tc>
        <w:tc>
          <w:tcPr>
            <w:tcW w:w="2268" w:type="dxa"/>
            <w:tcBorders>
              <w:top w:val="nil"/>
              <w:left w:val="nil"/>
              <w:bottom w:val="single" w:sz="4" w:space="0" w:color="auto"/>
              <w:right w:val="single" w:sz="4" w:space="0" w:color="auto"/>
            </w:tcBorders>
            <w:shd w:val="clear" w:color="auto" w:fill="auto"/>
            <w:vAlign w:val="center"/>
            <w:hideMark/>
          </w:tcPr>
          <w:p w14:paraId="2C9666A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56.885.531.878,51 </w:t>
            </w:r>
          </w:p>
        </w:tc>
        <w:tc>
          <w:tcPr>
            <w:tcW w:w="1096" w:type="dxa"/>
            <w:tcBorders>
              <w:top w:val="nil"/>
              <w:left w:val="nil"/>
              <w:bottom w:val="single" w:sz="4" w:space="0" w:color="auto"/>
              <w:right w:val="single" w:sz="4" w:space="0" w:color="auto"/>
            </w:tcBorders>
            <w:shd w:val="clear" w:color="auto" w:fill="auto"/>
            <w:vAlign w:val="center"/>
            <w:hideMark/>
          </w:tcPr>
          <w:p w14:paraId="20EC3E5A"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1,13%</w:t>
            </w:r>
          </w:p>
        </w:tc>
      </w:tr>
      <w:tr w:rsidR="00B351B3" w:rsidRPr="00B351B3" w14:paraId="12B947D1"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604955FE"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2017</w:t>
            </w:r>
          </w:p>
        </w:tc>
        <w:tc>
          <w:tcPr>
            <w:tcW w:w="1916" w:type="dxa"/>
            <w:tcBorders>
              <w:top w:val="nil"/>
              <w:left w:val="nil"/>
              <w:bottom w:val="single" w:sz="4" w:space="0" w:color="auto"/>
              <w:right w:val="single" w:sz="4" w:space="0" w:color="auto"/>
            </w:tcBorders>
            <w:shd w:val="clear" w:color="auto" w:fill="auto"/>
            <w:vAlign w:val="center"/>
            <w:hideMark/>
          </w:tcPr>
          <w:p w14:paraId="7874E76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619.991.360,50 </w:t>
            </w:r>
          </w:p>
        </w:tc>
        <w:tc>
          <w:tcPr>
            <w:tcW w:w="2268" w:type="dxa"/>
            <w:tcBorders>
              <w:top w:val="nil"/>
              <w:left w:val="nil"/>
              <w:bottom w:val="single" w:sz="4" w:space="0" w:color="auto"/>
              <w:right w:val="single" w:sz="4" w:space="0" w:color="auto"/>
            </w:tcBorders>
            <w:shd w:val="clear" w:color="auto" w:fill="auto"/>
            <w:vAlign w:val="center"/>
            <w:hideMark/>
          </w:tcPr>
          <w:p w14:paraId="37DF785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52.702.174.113,55 </w:t>
            </w:r>
          </w:p>
        </w:tc>
        <w:tc>
          <w:tcPr>
            <w:tcW w:w="1096" w:type="dxa"/>
            <w:tcBorders>
              <w:top w:val="nil"/>
              <w:left w:val="nil"/>
              <w:bottom w:val="single" w:sz="4" w:space="0" w:color="auto"/>
              <w:right w:val="single" w:sz="4" w:space="0" w:color="auto"/>
            </w:tcBorders>
            <w:shd w:val="clear" w:color="auto" w:fill="auto"/>
            <w:vAlign w:val="center"/>
            <w:hideMark/>
          </w:tcPr>
          <w:p w14:paraId="1317CA5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1,18%</w:t>
            </w:r>
          </w:p>
        </w:tc>
      </w:tr>
      <w:tr w:rsidR="00B351B3" w:rsidRPr="00B351B3" w14:paraId="5422291D"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6904CDDA"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2018</w:t>
            </w:r>
          </w:p>
        </w:tc>
        <w:tc>
          <w:tcPr>
            <w:tcW w:w="1916" w:type="dxa"/>
            <w:tcBorders>
              <w:top w:val="nil"/>
              <w:left w:val="nil"/>
              <w:bottom w:val="single" w:sz="4" w:space="0" w:color="auto"/>
              <w:right w:val="single" w:sz="4" w:space="0" w:color="auto"/>
            </w:tcBorders>
            <w:shd w:val="clear" w:color="auto" w:fill="auto"/>
            <w:vAlign w:val="center"/>
            <w:hideMark/>
          </w:tcPr>
          <w:p w14:paraId="785A157C"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688.250.445,46 </w:t>
            </w:r>
          </w:p>
        </w:tc>
        <w:tc>
          <w:tcPr>
            <w:tcW w:w="2268" w:type="dxa"/>
            <w:tcBorders>
              <w:top w:val="nil"/>
              <w:left w:val="nil"/>
              <w:bottom w:val="single" w:sz="4" w:space="0" w:color="auto"/>
              <w:right w:val="single" w:sz="4" w:space="0" w:color="auto"/>
            </w:tcBorders>
            <w:shd w:val="clear" w:color="auto" w:fill="auto"/>
            <w:vAlign w:val="center"/>
            <w:hideMark/>
          </w:tcPr>
          <w:p w14:paraId="32F72877"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52.040.612.299,75 </w:t>
            </w:r>
          </w:p>
        </w:tc>
        <w:tc>
          <w:tcPr>
            <w:tcW w:w="1096" w:type="dxa"/>
            <w:tcBorders>
              <w:top w:val="nil"/>
              <w:left w:val="nil"/>
              <w:bottom w:val="single" w:sz="4" w:space="0" w:color="auto"/>
              <w:right w:val="single" w:sz="4" w:space="0" w:color="auto"/>
            </w:tcBorders>
            <w:shd w:val="clear" w:color="auto" w:fill="auto"/>
            <w:vAlign w:val="center"/>
            <w:hideMark/>
          </w:tcPr>
          <w:p w14:paraId="4ED81EC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1,32%</w:t>
            </w:r>
          </w:p>
        </w:tc>
      </w:tr>
      <w:tr w:rsidR="00B351B3" w:rsidRPr="00B351B3" w14:paraId="39C5D6F6"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3D900F6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2019</w:t>
            </w:r>
          </w:p>
        </w:tc>
        <w:tc>
          <w:tcPr>
            <w:tcW w:w="1916" w:type="dxa"/>
            <w:tcBorders>
              <w:top w:val="nil"/>
              <w:left w:val="nil"/>
              <w:bottom w:val="single" w:sz="4" w:space="0" w:color="auto"/>
              <w:right w:val="single" w:sz="4" w:space="0" w:color="auto"/>
            </w:tcBorders>
            <w:shd w:val="clear" w:color="auto" w:fill="auto"/>
            <w:vAlign w:val="center"/>
            <w:hideMark/>
          </w:tcPr>
          <w:p w14:paraId="5AACDD4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689.054.877,10 </w:t>
            </w:r>
          </w:p>
        </w:tc>
        <w:tc>
          <w:tcPr>
            <w:tcW w:w="2268" w:type="dxa"/>
            <w:tcBorders>
              <w:top w:val="nil"/>
              <w:left w:val="nil"/>
              <w:bottom w:val="single" w:sz="4" w:space="0" w:color="auto"/>
              <w:right w:val="single" w:sz="4" w:space="0" w:color="auto"/>
            </w:tcBorders>
            <w:shd w:val="clear" w:color="auto" w:fill="auto"/>
            <w:vAlign w:val="center"/>
            <w:hideMark/>
          </w:tcPr>
          <w:p w14:paraId="34B0EED7"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54.736.266.182,26 </w:t>
            </w:r>
          </w:p>
        </w:tc>
        <w:tc>
          <w:tcPr>
            <w:tcW w:w="1096" w:type="dxa"/>
            <w:tcBorders>
              <w:top w:val="nil"/>
              <w:left w:val="nil"/>
              <w:bottom w:val="single" w:sz="4" w:space="0" w:color="auto"/>
              <w:right w:val="single" w:sz="4" w:space="0" w:color="auto"/>
            </w:tcBorders>
            <w:shd w:val="clear" w:color="auto" w:fill="auto"/>
            <w:vAlign w:val="center"/>
            <w:hideMark/>
          </w:tcPr>
          <w:p w14:paraId="02C77AFC"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1,26%</w:t>
            </w:r>
          </w:p>
        </w:tc>
      </w:tr>
      <w:tr w:rsidR="00B351B3" w:rsidRPr="00B351B3" w14:paraId="2C8BF60F"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75D464CC"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2020</w:t>
            </w:r>
          </w:p>
        </w:tc>
        <w:tc>
          <w:tcPr>
            <w:tcW w:w="1916" w:type="dxa"/>
            <w:tcBorders>
              <w:top w:val="nil"/>
              <w:left w:val="nil"/>
              <w:bottom w:val="single" w:sz="4" w:space="0" w:color="auto"/>
              <w:right w:val="single" w:sz="4" w:space="0" w:color="auto"/>
            </w:tcBorders>
            <w:shd w:val="clear" w:color="auto" w:fill="auto"/>
            <w:vAlign w:val="center"/>
            <w:hideMark/>
          </w:tcPr>
          <w:p w14:paraId="702BD740"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624.091.303,71 </w:t>
            </w:r>
          </w:p>
        </w:tc>
        <w:tc>
          <w:tcPr>
            <w:tcW w:w="2268" w:type="dxa"/>
            <w:tcBorders>
              <w:top w:val="nil"/>
              <w:left w:val="nil"/>
              <w:bottom w:val="single" w:sz="4" w:space="0" w:color="auto"/>
              <w:right w:val="single" w:sz="4" w:space="0" w:color="auto"/>
            </w:tcBorders>
            <w:shd w:val="clear" w:color="auto" w:fill="auto"/>
            <w:vAlign w:val="center"/>
            <w:hideMark/>
          </w:tcPr>
          <w:p w14:paraId="5CED96E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54.582.411.219,95 </w:t>
            </w:r>
          </w:p>
        </w:tc>
        <w:tc>
          <w:tcPr>
            <w:tcW w:w="1096" w:type="dxa"/>
            <w:tcBorders>
              <w:top w:val="nil"/>
              <w:left w:val="nil"/>
              <w:bottom w:val="single" w:sz="4" w:space="0" w:color="auto"/>
              <w:right w:val="single" w:sz="4" w:space="0" w:color="auto"/>
            </w:tcBorders>
            <w:shd w:val="clear" w:color="auto" w:fill="auto"/>
            <w:vAlign w:val="center"/>
            <w:hideMark/>
          </w:tcPr>
          <w:p w14:paraId="21C20D7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1,14%</w:t>
            </w:r>
          </w:p>
        </w:tc>
      </w:tr>
      <w:tr w:rsidR="00B351B3" w:rsidRPr="00B351B3" w14:paraId="360DC960"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106B7724"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2021</w:t>
            </w:r>
          </w:p>
        </w:tc>
        <w:tc>
          <w:tcPr>
            <w:tcW w:w="1916" w:type="dxa"/>
            <w:tcBorders>
              <w:top w:val="nil"/>
              <w:left w:val="nil"/>
              <w:bottom w:val="single" w:sz="4" w:space="0" w:color="auto"/>
              <w:right w:val="single" w:sz="4" w:space="0" w:color="auto"/>
            </w:tcBorders>
            <w:shd w:val="clear" w:color="auto" w:fill="auto"/>
            <w:vAlign w:val="center"/>
            <w:hideMark/>
          </w:tcPr>
          <w:p w14:paraId="05C663D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821.852.003,80 </w:t>
            </w:r>
          </w:p>
        </w:tc>
        <w:tc>
          <w:tcPr>
            <w:tcW w:w="2268" w:type="dxa"/>
            <w:tcBorders>
              <w:top w:val="nil"/>
              <w:left w:val="nil"/>
              <w:bottom w:val="single" w:sz="4" w:space="0" w:color="auto"/>
              <w:right w:val="single" w:sz="4" w:space="0" w:color="auto"/>
            </w:tcBorders>
            <w:shd w:val="clear" w:color="auto" w:fill="auto"/>
            <w:vAlign w:val="center"/>
            <w:hideMark/>
          </w:tcPr>
          <w:p w14:paraId="26F00432"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58.798.400.253,93 </w:t>
            </w:r>
          </w:p>
        </w:tc>
        <w:tc>
          <w:tcPr>
            <w:tcW w:w="1096" w:type="dxa"/>
            <w:tcBorders>
              <w:top w:val="nil"/>
              <w:left w:val="nil"/>
              <w:bottom w:val="single" w:sz="4" w:space="0" w:color="auto"/>
              <w:right w:val="single" w:sz="4" w:space="0" w:color="auto"/>
            </w:tcBorders>
            <w:shd w:val="clear" w:color="auto" w:fill="auto"/>
            <w:vAlign w:val="center"/>
            <w:hideMark/>
          </w:tcPr>
          <w:p w14:paraId="60DDBFA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1,40%</w:t>
            </w:r>
          </w:p>
        </w:tc>
      </w:tr>
      <w:tr w:rsidR="00B351B3" w:rsidRPr="00B351B3" w14:paraId="4B61EADC" w14:textId="77777777" w:rsidTr="00B351B3">
        <w:trPr>
          <w:trHeight w:val="300"/>
        </w:trPr>
        <w:tc>
          <w:tcPr>
            <w:tcW w:w="635" w:type="dxa"/>
            <w:tcBorders>
              <w:top w:val="nil"/>
              <w:left w:val="single" w:sz="4" w:space="0" w:color="auto"/>
              <w:bottom w:val="single" w:sz="4" w:space="0" w:color="auto"/>
              <w:right w:val="single" w:sz="4" w:space="0" w:color="auto"/>
            </w:tcBorders>
            <w:shd w:val="clear" w:color="auto" w:fill="auto"/>
            <w:vAlign w:val="center"/>
            <w:hideMark/>
          </w:tcPr>
          <w:p w14:paraId="49F336B3"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2022</w:t>
            </w:r>
          </w:p>
        </w:tc>
        <w:tc>
          <w:tcPr>
            <w:tcW w:w="1916" w:type="dxa"/>
            <w:tcBorders>
              <w:top w:val="nil"/>
              <w:left w:val="nil"/>
              <w:bottom w:val="single" w:sz="4" w:space="0" w:color="auto"/>
              <w:right w:val="single" w:sz="4" w:space="0" w:color="auto"/>
            </w:tcBorders>
            <w:shd w:val="clear" w:color="auto" w:fill="auto"/>
            <w:vAlign w:val="center"/>
            <w:hideMark/>
          </w:tcPr>
          <w:p w14:paraId="12864E2B"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773.807.414,89 </w:t>
            </w:r>
          </w:p>
        </w:tc>
        <w:tc>
          <w:tcPr>
            <w:tcW w:w="2268" w:type="dxa"/>
            <w:tcBorders>
              <w:top w:val="nil"/>
              <w:left w:val="nil"/>
              <w:bottom w:val="single" w:sz="4" w:space="0" w:color="auto"/>
              <w:right w:val="single" w:sz="4" w:space="0" w:color="auto"/>
            </w:tcBorders>
            <w:shd w:val="clear" w:color="auto" w:fill="auto"/>
            <w:vAlign w:val="center"/>
            <w:hideMark/>
          </w:tcPr>
          <w:p w14:paraId="457172A1"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 xml:space="preserve"> R$  66.216.984.047,39 </w:t>
            </w:r>
          </w:p>
        </w:tc>
        <w:tc>
          <w:tcPr>
            <w:tcW w:w="1096" w:type="dxa"/>
            <w:tcBorders>
              <w:top w:val="nil"/>
              <w:left w:val="nil"/>
              <w:bottom w:val="single" w:sz="4" w:space="0" w:color="auto"/>
              <w:right w:val="single" w:sz="4" w:space="0" w:color="auto"/>
            </w:tcBorders>
            <w:shd w:val="clear" w:color="auto" w:fill="auto"/>
            <w:vAlign w:val="center"/>
            <w:hideMark/>
          </w:tcPr>
          <w:p w14:paraId="2C476E5F" w14:textId="77777777" w:rsidR="00B351B3" w:rsidRPr="00B351B3" w:rsidRDefault="00B351B3" w:rsidP="00C03EF2">
            <w:pPr>
              <w:spacing w:after="0" w:line="240" w:lineRule="auto"/>
              <w:jc w:val="both"/>
              <w:rPr>
                <w:rFonts w:ascii="Times New Roman" w:eastAsia="Times New Roman" w:hAnsi="Times New Roman" w:cs="Times New Roman"/>
                <w:color w:val="000000"/>
                <w:lang w:eastAsia="pt-BR"/>
              </w:rPr>
            </w:pPr>
            <w:r w:rsidRPr="00B351B3">
              <w:rPr>
                <w:rFonts w:ascii="Times New Roman" w:eastAsia="Times New Roman" w:hAnsi="Times New Roman" w:cs="Times New Roman"/>
                <w:color w:val="000000"/>
                <w:lang w:eastAsia="pt-BR"/>
              </w:rPr>
              <w:t>1,17%</w:t>
            </w:r>
          </w:p>
        </w:tc>
      </w:tr>
    </w:tbl>
    <w:p w14:paraId="08F8FE73" w14:textId="77777777" w:rsidR="00B351B3" w:rsidRPr="00623F55" w:rsidRDefault="00B351B3" w:rsidP="00C03EF2">
      <w:pPr>
        <w:pStyle w:val="NormalWeb"/>
        <w:jc w:val="both"/>
      </w:pPr>
      <w:r w:rsidRPr="00623F55">
        <w:t>A regressão polinomial de grau 2 para Duque de Caxias resultou em R² = 0,426 e p-valor global de F = 0,189, estatisticamente não significativo ao nível de 5%. Esses resultados indicam que a variação da carga tributária proxy não é suficiente para explicar a variação da receita tributária no município dentro do período analisado. O coeficiente β₂ estimado foi negativo, o que indicaria geometricamente um trecho descendente da curva, mas a ausência de significância estatística impede qualquer inferência causal. A interpretação mais adequada é que a relação entre esforço fiscal e arrecadação em Duque de Caxias é empiricamente inconclusiva, dado que a baixa variância da proxy (amplitude de apenas 0,53 ponto percentual ao longo de dez anos) não gera informação suficiente para identificar o formato da curva.</w:t>
      </w:r>
    </w:p>
    <w:p w14:paraId="499DB774" w14:textId="77777777" w:rsidR="00B351B3" w:rsidRPr="00623F55" w:rsidRDefault="00B351B3" w:rsidP="00C03EF2">
      <w:pPr>
        <w:pStyle w:val="NormalWeb"/>
        <w:jc w:val="both"/>
      </w:pPr>
      <w:r w:rsidRPr="00623F55">
        <w:t>A comparação entre os dois municípios revela perfis fiscais distintos. Maceió apresentou crescimento contínuo do esforço tributário com resposta positiva da arrecadação, operando no trecho ascendente da curva durante todo o período. Duque de Caxias, por sua vez, manteve carga proxy significativamente menor e mais estável, sem que variações nessa proxy se traduzissem em variações correspondentes na receita, resultado que reflete a estrutura econômica peculiar do município, cuja base fiscal é dominada por atividades industriais de grande porte com repercussão limitada sobre tributos municipais próprios como ISS e IPTU. Em ambos os casos, os níveis de carga observados situam-se muito abaixo do ponto de inflexão teórico da curva, o que é esperado no contexto municipal brasileiro, onde a arrecadação própria representa parcela pequena do PIB local e o espaço para ampliação do esforço fiscal ainda não foi plenamente explorado.</w:t>
      </w:r>
    </w:p>
    <w:p w14:paraId="5E81E870" w14:textId="534643A3" w:rsidR="00B351B3" w:rsidRPr="00623F55" w:rsidRDefault="00B351B3" w:rsidP="00C03EF2">
      <w:pPr>
        <w:pStyle w:val="NormalWeb"/>
        <w:jc w:val="both"/>
      </w:pPr>
      <w:r w:rsidRPr="00623F55">
        <w:lastRenderedPageBreak/>
        <w:t>O gráfico de dispersão abaixo apresenta os pontos observados de cada município com as respectivas linhas de tendência polinomial de grau 2, permitindo visualizar os distintos formatos da curva estimada para cada ente.</w:t>
      </w:r>
    </w:p>
    <w:p w14:paraId="38BEFE75" w14:textId="1F482940" w:rsidR="00B351B3" w:rsidRPr="00623F55" w:rsidRDefault="00B351B3" w:rsidP="00C03EF2">
      <w:pPr>
        <w:pStyle w:val="NormalWeb"/>
        <w:jc w:val="both"/>
      </w:pPr>
      <w:r w:rsidRPr="00623F55">
        <w:t xml:space="preserve">  </w:t>
      </w:r>
      <w:r w:rsidRPr="00623F55">
        <w:rPr>
          <w:noProof/>
        </w:rPr>
        <w:drawing>
          <wp:inline distT="0" distB="0" distL="0" distR="0" wp14:anchorId="2E634BFA" wp14:editId="251696AE">
            <wp:extent cx="5400040" cy="330390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303905"/>
                    </a:xfrm>
                    <a:prstGeom prst="rect">
                      <a:avLst/>
                    </a:prstGeom>
                  </pic:spPr>
                </pic:pic>
              </a:graphicData>
            </a:graphic>
          </wp:inline>
        </w:drawing>
      </w:r>
    </w:p>
    <w:p w14:paraId="4B9AA9ED" w14:textId="1975EE90" w:rsidR="008C7C83" w:rsidRPr="00623F55" w:rsidRDefault="007A74E5" w:rsidP="00C03EF2">
      <w:pPr>
        <w:pStyle w:val="NormalWeb"/>
        <w:jc w:val="both"/>
      </w:pPr>
      <w:r w:rsidRPr="00623F55">
        <w:t>O gráfico confirma visualmente os resultados econométricos: a curva de Maceió exibe inclinação positiva clara ao longo de toda a faixa de carga observada, enquanto a curva de Duque de Caxias apresenta formato levemente côncavo mas com ampla dispersão dos pontos em torno da linha de tendência, refletindo a baixa significância estatística da regressão. Nenhum dos dois municípios atinge o ponto de máximo teórico da curva, o que sugere que ambos ainda operam em um contexto de subexploração do potencial de arrecadação tributária própria em relação ao tamanho de suas economias locais.</w:t>
      </w:r>
    </w:p>
    <w:p w14:paraId="582FCCF0" w14:textId="77777777" w:rsidR="007A74E5" w:rsidRPr="00623F55" w:rsidRDefault="007A74E5" w:rsidP="00C03EF2">
      <w:pPr>
        <w:pStyle w:val="NormalWeb"/>
        <w:jc w:val="both"/>
      </w:pPr>
      <w:r w:rsidRPr="00623F55">
        <w:t>Fontes:</w:t>
      </w:r>
    </w:p>
    <w:p w14:paraId="79850E16" w14:textId="1B4E6763" w:rsidR="007A74E5" w:rsidRPr="00623F55" w:rsidRDefault="007A74E5" w:rsidP="00C03EF2">
      <w:pPr>
        <w:pStyle w:val="NormalWeb"/>
        <w:jc w:val="both"/>
      </w:pPr>
      <w:r w:rsidRPr="00623F55">
        <w:t>SICONFI/FINBRA, STN:</w:t>
      </w:r>
      <w:r w:rsidRPr="00623F55">
        <w:t xml:space="preserve"> </w:t>
      </w:r>
      <w:hyperlink r:id="rId24" w:history="1">
        <w:r w:rsidRPr="00623F55">
          <w:rPr>
            <w:rStyle w:val="Hyperlink"/>
          </w:rPr>
          <w:t>https://siconfi.tesouro.gov.br/siconfi/pages/public/consulta_finbra/finbra_list.jsf</w:t>
        </w:r>
      </w:hyperlink>
    </w:p>
    <w:p w14:paraId="5C4DBCBD" w14:textId="13D4FF17" w:rsidR="007A74E5" w:rsidRPr="00623F55" w:rsidRDefault="007A74E5" w:rsidP="00C03EF2">
      <w:pPr>
        <w:pStyle w:val="NormalWeb"/>
        <w:jc w:val="both"/>
      </w:pPr>
      <w:r w:rsidRPr="00623F55">
        <w:t>IBGE, PIB dos Municípios:</w:t>
      </w:r>
      <w:r w:rsidRPr="00623F55">
        <w:t xml:space="preserve"> </w:t>
      </w:r>
      <w:hyperlink r:id="rId25" w:history="1">
        <w:r w:rsidRPr="00623F55">
          <w:rPr>
            <w:rStyle w:val="Hyperlink"/>
          </w:rPr>
          <w:t>https://www.ibge.gov.br/estatisticas/economicas/contas-nacionais/9088-produto-interno-bruto-dos-municipios.html</w:t>
        </w:r>
      </w:hyperlink>
    </w:p>
    <w:p w14:paraId="50AE63D1" w14:textId="66C366D7" w:rsidR="007A74E5" w:rsidRPr="00623F55" w:rsidRDefault="007A74E5" w:rsidP="00C03EF2">
      <w:pPr>
        <w:pStyle w:val="NormalWeb"/>
        <w:jc w:val="both"/>
      </w:pPr>
    </w:p>
    <w:p w14:paraId="714D24BD" w14:textId="6BE16286" w:rsidR="007A74E5" w:rsidRPr="00623F55" w:rsidRDefault="007A74E5" w:rsidP="00C03EF2">
      <w:pPr>
        <w:pStyle w:val="NormalWeb"/>
        <w:jc w:val="both"/>
      </w:pPr>
      <w:r w:rsidRPr="00623F55">
        <w:t>Questão 7)</w:t>
      </w:r>
    </w:p>
    <w:p w14:paraId="356F25EC" w14:textId="77777777" w:rsidR="007A74E5" w:rsidRPr="007A74E5" w:rsidRDefault="007A74E5" w:rsidP="00C03EF2">
      <w:pPr>
        <w:spacing w:before="100" w:beforeAutospacing="1" w:after="100" w:afterAutospacing="1" w:line="240" w:lineRule="auto"/>
        <w:jc w:val="both"/>
        <w:outlineLvl w:val="3"/>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(i) Coleta dos dados</w:t>
      </w:r>
    </w:p>
    <w:p w14:paraId="040E9193"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 xml:space="preserve">Os dados utilizados nesta estimação foram extraídos de duas fontes oficiais. As receitas correntes municipais, em valores nominais, foram obtidas no Sistema de Informações Contábeis e Fiscais do Setor Público Brasileiro (SICONFI/FINBRA), administrado pela </w:t>
      </w:r>
      <w:r w:rsidRPr="007A74E5">
        <w:rPr>
          <w:rFonts w:ascii="Times New Roman" w:eastAsia="Times New Roman" w:hAnsi="Times New Roman" w:cs="Times New Roman"/>
          <w:sz w:val="24"/>
          <w:szCs w:val="24"/>
          <w:lang w:eastAsia="pt-BR"/>
        </w:rPr>
        <w:lastRenderedPageBreak/>
        <w:t>Secretaria do Tesouro Nacional, abrangendo o período de 2013 a 2022. O PIB municipal foi coletado na base do IBGE, série "Produto Interno Bruto dos Municípios". Todos os valores foram deflacionados pelo IPCA com base em 2022, utilizando os fatores de correção calculados a partir do índice acumulado do período. Para Duque de Caxias, o ano de 2014 foi excluído da estimação por ausência de dado de receita corrente no SICONFI/FINBRA, resultando em 9 observações válidas para aquele município, contra 10 para Maceió.</w:t>
      </w:r>
    </w:p>
    <w:p w14:paraId="3DF368C7" w14:textId="77777777" w:rsidR="007A74E5" w:rsidRPr="007A74E5" w:rsidRDefault="007A74E5" w:rsidP="00C03EF2">
      <w:pPr>
        <w:spacing w:before="100" w:beforeAutospacing="1" w:after="100" w:afterAutospacing="1" w:line="240" w:lineRule="auto"/>
        <w:jc w:val="both"/>
        <w:outlineLvl w:val="3"/>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(ii) Estimação do modelo</w:t>
      </w:r>
    </w:p>
    <w:p w14:paraId="3E0772DC"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O modelo foi estimado pelo método dos Mínimos Quadrados Ordinários (MQO), que minimiza a soma dos quadrados dos resíduos entre os valores observados e os valores preditos pela reta de regressão. A forma funcional é:</w:t>
      </w:r>
    </w:p>
    <w:p w14:paraId="3ECE3039"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Receita Corrente = β₀ + β₁ · PIB Municipal + ε</w:t>
      </w:r>
    </w:p>
    <w:p w14:paraId="071CCD6F"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onde β₀ é o intercepto, β₁ é o coeficiente angular que captura a sensibilidade da receita em relação ao PIB, e ε é o termo de erro. Os coeficientes foram obtidos pelas fórmulas fechadas do MQO:</w:t>
      </w:r>
    </w:p>
    <w:p w14:paraId="7701BCD0"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β₁ = Σ[(PIBᵢ − PIB̄)(Recᵢ − R̄ec)] / Σ[(PIBᵢ − PIB̄)²] e β₀ = R̄ec − β₁ · PIB̄</w:t>
      </w:r>
    </w:p>
    <w:p w14:paraId="395553EF" w14:textId="77777777" w:rsidR="007A74E5" w:rsidRPr="007A74E5" w:rsidRDefault="007A74E5" w:rsidP="00C03EF2">
      <w:pPr>
        <w:spacing w:before="100" w:beforeAutospacing="1" w:after="100" w:afterAutospacing="1" w:line="240" w:lineRule="auto"/>
        <w:jc w:val="both"/>
        <w:outlineLvl w:val="3"/>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(iii) Interpretação econômica de β₁</w:t>
      </w:r>
    </w:p>
    <w:p w14:paraId="1981CF7E"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O coeficiente β₁ representa a variação esperada nas receitas correntes municipais associada a um aumento de R$ 1,00 no PIB municipal, mantidos os demais fatores constantes. Sua interpretação econômica difere substancialmente entre os dois municípios.</w:t>
      </w:r>
    </w:p>
    <w:p w14:paraId="2401DC2F"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Em Maceió, β₁ = −0,0123 indica que, na média do período analisado, um aumento de R$ 1 bilhão no PIB municipal estaria associado a uma redução de R$ 12,3 milhões nas receitas correntes. Esse resultado contraintuitivo e economicamente inconsistente é explicado pela ausência de relação linear entre as duas variáveis no período: o coeficiente de correlação de Pearson é de apenas −0,055, e o R² de 0,003 indica que o PIB explica menos de 0,3% da variação das receitas correntes. O p-valor de 0,880 confirma que o coeficiente é estatisticamente indistinguível de zero, impossibilitando qualquer inferência causal.</w:t>
      </w:r>
    </w:p>
    <w:p w14:paraId="7668AE85"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Em Duque de Caxias, β₁ = +0,0453 indica que um aumento de R$ 1 bilhão no PIB municipal estaria associado a um acréscimo de R$ 45,3 milhões nas receitas correntes, sinal positivo e economicamente coerente com a teoria. Contudo, o p-valor de 0,150 e o R² de 0,272 indicam que a relação também não é estatisticamente significativa ao nível de 5%, embora seja sensivelmente mais robusta do que em Maceió.</w:t>
      </w:r>
    </w:p>
    <w:p w14:paraId="22F38E35" w14:textId="77777777" w:rsidR="007A74E5" w:rsidRPr="00623F55" w:rsidRDefault="007A74E5" w:rsidP="00C03EF2">
      <w:pPr>
        <w:spacing w:before="100" w:beforeAutospacing="1" w:after="100" w:afterAutospacing="1" w:line="240" w:lineRule="auto"/>
        <w:jc w:val="both"/>
        <w:outlineLvl w:val="3"/>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(iv) Gráfico de dispersão</w:t>
      </w:r>
    </w:p>
    <w:p w14:paraId="06194743" w14:textId="346BB460" w:rsidR="007A74E5" w:rsidRPr="007A74E5" w:rsidRDefault="007A74E5" w:rsidP="00C03EF2">
      <w:pPr>
        <w:spacing w:before="100" w:beforeAutospacing="1" w:after="100" w:afterAutospacing="1" w:line="240" w:lineRule="auto"/>
        <w:jc w:val="both"/>
        <w:outlineLvl w:val="3"/>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 xml:space="preserve">O painel esquerdo de Maceió evidencia a ausência de padrão linear nos dados: os pontos estão dispersos horizontalmente em uma faixa estreita de PIB (entre R$ 26,5 e R$ 31,4 bilhões), enquanto as receitas variam mais amplamente, sugerindo que outros fatores, como transferências intergovernamentais e esforço de arrecadação própria, exercem papel </w:t>
      </w:r>
      <w:r w:rsidRPr="007A74E5">
        <w:rPr>
          <w:rFonts w:ascii="Times New Roman" w:eastAsia="Times New Roman" w:hAnsi="Times New Roman" w:cs="Times New Roman"/>
          <w:sz w:val="24"/>
          <w:szCs w:val="24"/>
          <w:lang w:eastAsia="pt-BR"/>
        </w:rPr>
        <w:lastRenderedPageBreak/>
        <w:t>dominante na determinação da receita. O painel direito de Duque de Caxias mostra uma dispersão maior no eixo do PIB (entre R$ 42,5 e R$ 66,2 bilhões) e uma tendência positiva mais perceptível, ainda que com dois pontos atípicos relevantes: 2021, com receita corrente excepcionalmente elevada (R$ 4,56 bilhões) possivelmente associada a transferências emergenciais, e 2016, com receita deprimida em contexto de recessão estadual severa.</w:t>
      </w:r>
    </w:p>
    <w:p w14:paraId="12CF8FC9" w14:textId="77777777" w:rsidR="007A74E5" w:rsidRPr="007A74E5" w:rsidRDefault="007A74E5" w:rsidP="00C03EF2">
      <w:pPr>
        <w:spacing w:before="100" w:beforeAutospacing="1" w:after="100" w:afterAutospacing="1" w:line="240" w:lineRule="auto"/>
        <w:jc w:val="both"/>
        <w:outlineLvl w:val="3"/>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(v) Implicações fiscais</w:t>
      </w:r>
    </w:p>
    <w:p w14:paraId="3FCBDF92" w14:textId="77777777"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Os resultados da regressão têm implicações fiscais diretas para ambos os municípios. A ausência de significância estatística em Maceió revela que o crescimento econômico local, medido pelo PIB municipal, não se transmite automaticamente para as receitas correntes do município, o que pode ser explicado pela elevada dependência de transferências constitucionais (FPM e ICMS estadual), cuja dinâmica é determinada por regras federais e estaduais, e não pelo desempenho econômico local. Isso implica que políticas de desenvolvimento econômico local, embora desejáveis por outras razões, têm impacto limitado e incerto sobre a arrecadação municipal de Maceió no curto e médio prazo.</w:t>
      </w:r>
    </w:p>
    <w:p w14:paraId="0B4CBDCF" w14:textId="74A35E18" w:rsidR="007A74E5" w:rsidRPr="00623F5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7A74E5">
        <w:rPr>
          <w:rFonts w:ascii="Times New Roman" w:eastAsia="Times New Roman" w:hAnsi="Times New Roman" w:cs="Times New Roman"/>
          <w:sz w:val="24"/>
          <w:szCs w:val="24"/>
          <w:lang w:eastAsia="pt-BR"/>
        </w:rPr>
        <w:t>Para Duque de Caxias, o coeficiente positivo e de maior magnitude relativa (β₁ = +0,045) sugere que o município se beneficia marginalmente de sua base econômica expressiva, vinculada ao complexo petroquímico e industrial, mas a baixa significância estatística indica que essa transmissão também é incerta e mediada por fatores institucionais como a distribuição de royalties e ICMS-petróleo, que não seguem a dinâmica do PIB municipal de forma direta. Em ambos os casos, o modelo de regressão simples com uma única variável explicativa mostra-se insuficiente para capturar a complexidade da formação das receitas municipais brasileiras, apontando para a necessidade de especificações mais ricas que incorporem variáveis como transferências, esforço fiscal próprio e ciclo econômico nacional.</w:t>
      </w:r>
    </w:p>
    <w:p w14:paraId="3A5DAC90" w14:textId="641A18B3" w:rsidR="007A74E5" w:rsidRPr="007A74E5" w:rsidRDefault="007A74E5" w:rsidP="00C03EF2">
      <w:pPr>
        <w:spacing w:before="100" w:beforeAutospacing="1" w:after="100" w:afterAutospacing="1" w:line="240" w:lineRule="auto"/>
        <w:jc w:val="both"/>
        <w:rPr>
          <w:rFonts w:ascii="Times New Roman" w:eastAsia="Times New Roman" w:hAnsi="Times New Roman" w:cs="Times New Roman"/>
          <w:sz w:val="24"/>
          <w:szCs w:val="24"/>
          <w:lang w:eastAsia="pt-BR"/>
        </w:rPr>
      </w:pPr>
      <w:r w:rsidRPr="00623F55">
        <w:rPr>
          <w:rFonts w:ascii="Times New Roman" w:eastAsia="Times New Roman" w:hAnsi="Times New Roman" w:cs="Times New Roman"/>
          <w:noProof/>
          <w:sz w:val="24"/>
          <w:szCs w:val="24"/>
          <w:lang w:eastAsia="pt-BR"/>
        </w:rPr>
        <w:drawing>
          <wp:inline distT="0" distB="0" distL="0" distR="0" wp14:anchorId="58326850" wp14:editId="10A70D44">
            <wp:extent cx="5400040" cy="27432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743200"/>
                    </a:xfrm>
                    <a:prstGeom prst="rect">
                      <a:avLst/>
                    </a:prstGeom>
                  </pic:spPr>
                </pic:pic>
              </a:graphicData>
            </a:graphic>
          </wp:inline>
        </w:drawing>
      </w:r>
    </w:p>
    <w:p w14:paraId="408DAB5C" w14:textId="6B691CEA" w:rsidR="007A74E5" w:rsidRPr="00623F55" w:rsidRDefault="007A74E5" w:rsidP="00C03EF2">
      <w:pPr>
        <w:pStyle w:val="NormalWeb"/>
        <w:jc w:val="both"/>
      </w:pPr>
      <w:r w:rsidRPr="00623F55">
        <w:t>Questão 8)</w:t>
      </w:r>
    </w:p>
    <w:p w14:paraId="4822A755" w14:textId="2412D6A1" w:rsidR="007A74E5" w:rsidRPr="00623F55" w:rsidRDefault="007A74E5" w:rsidP="00C03EF2">
      <w:pPr>
        <w:pStyle w:val="NormalWeb"/>
        <w:jc w:val="both"/>
      </w:pPr>
      <w:r w:rsidRPr="00623F55">
        <w:t xml:space="preserve">A análise georreferenciada posiciona dois municípios em regiões distintas do território brasileiro: Maceió, capital do estado de Alagoas, localizada no litoral nordestino, e Duque </w:t>
      </w:r>
      <w:r w:rsidRPr="00623F55">
        <w:lastRenderedPageBreak/>
        <w:t>de Caxias, município da Região Metropolitana do Rio de Janeiro, situado no litoral sudeste. A distância geográfica entre os dois entes reflete também uma distância econômica e institucional relevante, o que torna a comparação per capita especialmente informativa, pois neutraliza o efeito do tamanho absoluto das receitas e despesas e permite avaliar o nível de provisão fiscal por habitante em contextos estruturalmente distintos.</w:t>
      </w:r>
    </w:p>
    <w:p w14:paraId="747A3248" w14:textId="77777777" w:rsidR="007A74E5" w:rsidRPr="00623F55" w:rsidRDefault="007A74E5" w:rsidP="00C03EF2">
      <w:pPr>
        <w:pStyle w:val="NormalWeb"/>
        <w:jc w:val="both"/>
      </w:pPr>
      <w:r w:rsidRPr="00623F55">
        <w:t>A métrica adotada é o valor nominal de receitas correntes, despesa total, gasto em saúde e gasto em educação dividido pela estimativa populacional anual do IBGE, cobrindo o período de 2013 a 2022. Os valores são apresentados em termos nominais, conforme disponibilizados no SICONFI/FINBRA.</w:t>
      </w:r>
    </w:p>
    <w:p w14:paraId="6627B00D" w14:textId="1FD406BA" w:rsidR="007A74E5" w:rsidRPr="00623F55" w:rsidRDefault="007A74E5" w:rsidP="00C03EF2">
      <w:pPr>
        <w:pStyle w:val="NormalWeb"/>
        <w:jc w:val="both"/>
      </w:pPr>
      <w:r w:rsidRPr="00623F55">
        <w:t>Em 2022, Maceió registrou receita corrente per capita de R$ 3.695, enquanto Duque de Caxias alcançou R$ 4.842, diferença de aproximadamente R$ 1.147 por habitante em favor do município fluminense. Apesar dessa diferença absoluta, a trajetória de crescimento ao longo do período foi semelhante: Maceió expandiu sua receita per capita em 132% entre 2013 e 2022, passando de R$ 1.590 para R$ 3.695, e Duque de Caxias cresceu 127% no mesmo intervalo, de R$ 2.129 para R$ 4.842. Ambos os municípios, portanto, praticamente dobraram sua capacidade fiscal por habitante na década, ainda que partindo de patamares distintos.</w:t>
      </w:r>
    </w:p>
    <w:p w14:paraId="1B99D55E" w14:textId="77777777" w:rsidR="007A74E5" w:rsidRPr="00623F55" w:rsidRDefault="007A74E5" w:rsidP="00C03EF2">
      <w:pPr>
        <w:pStyle w:val="NormalWeb"/>
        <w:jc w:val="both"/>
      </w:pPr>
      <w:r w:rsidRPr="00623F55">
        <w:t>O salto mais expressivo em Maceió ocorreu em 2020 e 2022, anos associados a transferências federais emergenciais e ao incremento da arrecadação tributária própria. Em Duque de Caxias, o pico de R$ 4.432 em 2021 é notável e reflete provavelmente a combinação de transferências extraordinárias do período pandêmico com a recuperação das receitas de royalties e ICMS-petróleo.</w:t>
      </w:r>
    </w:p>
    <w:p w14:paraId="7EB5CF06" w14:textId="77777777" w:rsidR="003106C9" w:rsidRPr="00623F55" w:rsidRDefault="007A74E5" w:rsidP="00C03EF2">
      <w:pPr>
        <w:pStyle w:val="NormalWeb"/>
        <w:jc w:val="both"/>
      </w:pPr>
      <w:r w:rsidRPr="00623F55">
        <w:t>O diferencial se aprofunda na despesa. Em 2022, Maceió gastou R$ 3.335 per capita, contra R$ 5.011 de Duque de Caxias, diferença de R$ 1.676 por habitante. Duque de Caxias sustentou ao longo de toda a série um patamar de gasto per capita sistematicamente superior, reflexo de sua base tributária mais robusta e de sua posição como um dos maiores PIBs municipais do país. Em 2022, a despesa per capita de Duque de Caxias superou sua receita corrente per capita em R$ 169, indicando desequilíbrio fiscal pontual no exercício, enquanto Maceió manteve despesa abaixo da receita naquele ano.</w:t>
      </w:r>
    </w:p>
    <w:p w14:paraId="74048AA2" w14:textId="109D5440" w:rsidR="007A74E5" w:rsidRPr="00623F55" w:rsidRDefault="007A74E5" w:rsidP="00C03EF2">
      <w:pPr>
        <w:pStyle w:val="NormalWeb"/>
        <w:jc w:val="both"/>
      </w:pPr>
      <w:r w:rsidRPr="00623F55">
        <w:t>As diferenças mais pronunciadas entre os dois municípios aparecem no gasto setorial. Em saúde, Duque de Caxias gastou R$ 1.870 per capita em 2022, contra R$ 900 de Maceió, uma diferença de 108% em favor do município fluminense. Essa lacuna cresceu acentuadamente a partir de 2020, quando Duque de Caxias expandiu fortemente seu gasto sanitário em resposta à pandemia de Covid-19, enquanto Maceió manteve trajetória de crescimento mais moderada.</w:t>
      </w:r>
    </w:p>
    <w:p w14:paraId="66D298A0" w14:textId="1A0AA3EE" w:rsidR="007A74E5" w:rsidRPr="00623F55" w:rsidRDefault="007A74E5" w:rsidP="00C03EF2">
      <w:pPr>
        <w:pStyle w:val="NormalWeb"/>
        <w:jc w:val="both"/>
      </w:pPr>
      <w:r w:rsidRPr="00623F55">
        <w:t>Em educação, o padrão se repete: Duque de Caxias desembolsou R$ 1.028 per capita em 2022, ante R$ 760 de Maceió. Contudo, Maceió apresentou crescimento expressivo nesse indicador, saindo de R$ 215 em 2014 para R$ 760 em 2022, expansão de 253% no período, a maior variação relativa observada entre todos os indicadores analisados para aquele município. Duque de Caxias, por sua vez, apresentou retração relevante no gasto em educação per capita entre 2018 e 2021, passando de R$ 829 para R$ 699, antes de recuperar em 2022.</w:t>
      </w:r>
    </w:p>
    <w:p w14:paraId="0F3334DA" w14:textId="41233A77" w:rsidR="007A74E5" w:rsidRPr="00623F55" w:rsidRDefault="007A74E5" w:rsidP="00C03EF2">
      <w:pPr>
        <w:pStyle w:val="NormalWeb"/>
        <w:jc w:val="both"/>
      </w:pPr>
      <w:r w:rsidRPr="00623F55">
        <w:lastRenderedPageBreak/>
        <w:t>A comparação georreferenciada revela uma hierarquia fiscal per capita persistente ao longo da década, com Duque de Caxias consistentemente acima de Maceió em todos os indicadores analisados. Essa diferença estrutural não decorre apenas de maior riqueza local, mas também de distintas capacidades institucionais, perfis de transferências intergovernamentais e composição da base econômica. Maceió, apesar do crescimento relativo expressivo, ainda apresenta gasto per capita em saúde equivalente a menos da metade do observado em Duque de Caxias, o que tem implicações diretas sobre a provisão de serviços públicos à população alagoana, historicamente mais vulnerável segundo os indicadores socioeconômicos do IBGE. A análise reforça que a comparação entre municípios de regiões distintas do Brasil exige sempre a mediação por indicadores per capita e por contexto institucional, sob risco de conclusões enganosas baseadas em valores absolutos.</w:t>
      </w:r>
    </w:p>
    <w:p w14:paraId="7F86CB55" w14:textId="659C8A22" w:rsidR="003106C9" w:rsidRPr="00623F55" w:rsidRDefault="003106C9" w:rsidP="00C03EF2">
      <w:pPr>
        <w:pStyle w:val="NormalWeb"/>
        <w:jc w:val="both"/>
      </w:pPr>
      <w:r w:rsidRPr="00623F55">
        <w:t>Mapa</w:t>
      </w:r>
      <w:r w:rsidRPr="00623F55">
        <w:t xml:space="preserve"> temático (georreferenciamento)</w:t>
      </w:r>
      <w:r w:rsidRPr="00623F55">
        <w:t xml:space="preserve">: </w:t>
      </w:r>
      <w:hyperlink r:id="rId27" w:history="1">
        <w:r w:rsidRPr="00623F55">
          <w:rPr>
            <w:rStyle w:val="Hyperlink"/>
          </w:rPr>
          <w:t>file:///C:/Users/Windows%2010/Downloads/mapa_tematico_per_capita_maceio_duquecaxias.html</w:t>
        </w:r>
      </w:hyperlink>
    </w:p>
    <w:p w14:paraId="3A7F3A21" w14:textId="6C5CD9DE" w:rsidR="007A74E5" w:rsidRPr="00623F55" w:rsidRDefault="003106C9" w:rsidP="00C03EF2">
      <w:pPr>
        <w:pStyle w:val="NormalWeb"/>
        <w:jc w:val="both"/>
        <w:rPr>
          <w:b/>
          <w:bCs/>
          <w:color w:val="FF0000"/>
        </w:rPr>
      </w:pPr>
      <w:r w:rsidRPr="00623F55">
        <w:rPr>
          <w:b/>
          <w:bCs/>
          <w:color w:val="FF0000"/>
        </w:rPr>
        <w:t>O LINK PARA O MAPA TAMBÉM SERÁ DISPONIBILIZADO NO GITHUB</w:t>
      </w:r>
    </w:p>
    <w:p w14:paraId="36F1BA63" w14:textId="2C8D9962" w:rsidR="007A74E5" w:rsidRPr="00623F55" w:rsidRDefault="007A74E5" w:rsidP="00C03EF2">
      <w:pPr>
        <w:pStyle w:val="NormalWeb"/>
        <w:jc w:val="both"/>
      </w:pPr>
      <w:r w:rsidRPr="00623F55">
        <w:t>Fontes:</w:t>
      </w:r>
    </w:p>
    <w:p w14:paraId="728831D7" w14:textId="4E613E3A" w:rsidR="007A74E5" w:rsidRPr="00623F55" w:rsidRDefault="007A74E5" w:rsidP="00C03EF2">
      <w:pPr>
        <w:pStyle w:val="NormalWeb"/>
        <w:jc w:val="both"/>
      </w:pPr>
      <w:r w:rsidRPr="00623F55">
        <w:t xml:space="preserve">SICONFI/FINBRA, STN: </w:t>
      </w:r>
      <w:hyperlink r:id="rId28" w:history="1">
        <w:r w:rsidRPr="00623F55">
          <w:rPr>
            <w:rStyle w:val="Hyperlink"/>
          </w:rPr>
          <w:t>https://siconfi.tesouro.gov.br/siconfi/pages/public/consulta_finbra/finbra_list.jsf</w:t>
        </w:r>
      </w:hyperlink>
    </w:p>
    <w:p w14:paraId="398132FB" w14:textId="59728E85" w:rsidR="007A74E5" w:rsidRPr="00623F55" w:rsidRDefault="007A74E5" w:rsidP="00C03EF2">
      <w:pPr>
        <w:pStyle w:val="NormalWeb"/>
        <w:jc w:val="both"/>
      </w:pPr>
      <w:r w:rsidRPr="00623F55">
        <w:t xml:space="preserve">IBGE, Estimativas de população: </w:t>
      </w:r>
      <w:hyperlink r:id="rId29" w:history="1">
        <w:r w:rsidRPr="00623F55">
          <w:rPr>
            <w:rStyle w:val="Hyperlink"/>
          </w:rPr>
          <w:t>https://www.ibge.gov.br/estatisticas/sociais/populacao/9103-estimativas-de-populacao.html</w:t>
        </w:r>
      </w:hyperlink>
    </w:p>
    <w:p w14:paraId="1AD27CE1" w14:textId="180D812F" w:rsidR="003106C9" w:rsidRPr="00623F55" w:rsidRDefault="003106C9" w:rsidP="00C03EF2">
      <w:pPr>
        <w:pStyle w:val="NormalWeb"/>
        <w:jc w:val="both"/>
      </w:pPr>
    </w:p>
    <w:p w14:paraId="59219973" w14:textId="16748BBA" w:rsidR="003106C9" w:rsidRPr="00623F55" w:rsidRDefault="003106C9" w:rsidP="00C03EF2">
      <w:pPr>
        <w:pStyle w:val="NormalWeb"/>
        <w:jc w:val="both"/>
      </w:pPr>
      <w:r w:rsidRPr="00623F55">
        <w:t>Questão 9)</w:t>
      </w:r>
    </w:p>
    <w:p w14:paraId="390C865B" w14:textId="77777777" w:rsidR="00D06630" w:rsidRPr="00623F55" w:rsidRDefault="00D06630" w:rsidP="00C03EF2">
      <w:pPr>
        <w:pStyle w:val="NormalWeb"/>
        <w:jc w:val="both"/>
      </w:pPr>
      <w:r w:rsidRPr="00623F55">
        <w:t>A saúde pública constitui o exemplo mais paradigmático de falha de mercado no contexto das finanças públicas municipais brasileiras. Três mecanismos de falha operam simultaneamente nesse setor: a presença de externalidades positivas, a característica de bem meritório e a assimetria de informação entre prestador e usuário dos serviços. No caso das externalidades positivas, o tratamento de doenças infectocontagiosas, a vacinação e o saneamento básico geram benefícios que se estendem muito além do indivíduo atendido, alcançando toda a coletividade. Como o mercado privado não consegue capturar esses benefícios sociais difusos em preços, a oferta privada tende a ser sistematicamente inferior ao nível socialmente ótimo, justificando a intervenção estatal por meio do gasto público direto.</w:t>
      </w:r>
    </w:p>
    <w:p w14:paraId="308B317E" w14:textId="77777777" w:rsidR="00D06630" w:rsidRPr="00623F55" w:rsidRDefault="00D06630" w:rsidP="00C03EF2">
      <w:pPr>
        <w:pStyle w:val="NormalWeb"/>
        <w:jc w:val="both"/>
      </w:pPr>
      <w:r w:rsidRPr="00623F55">
        <w:t xml:space="preserve">A assimetria de informação agrava esse problema: o paciente raramente possui condições técnicas de avaliar a qualidade e a necessidade dos serviços de saúde que consome, o que torna o mercado privado especialmente sujeito à seleção adversa e ao risco moral. Em populações de baixa renda, como parcela significativa dos habitantes de Maceió e de Duque de Caxias, essa assimetria é ainda mais pronunciada, pois a restrição orçamentária familiar elimina a possibilidade de busca por serviços privados alternativos, tornando o </w:t>
      </w:r>
      <w:r w:rsidRPr="00623F55">
        <w:lastRenderedPageBreak/>
        <w:t>gasto público municipal em saúde o único mecanismo efetivo de provisão para uma parte expressiva da população.</w:t>
      </w:r>
    </w:p>
    <w:p w14:paraId="10212AB3" w14:textId="0FCF8409" w:rsidR="00D06630" w:rsidRPr="00623F55" w:rsidRDefault="00D06630" w:rsidP="00C03EF2">
      <w:pPr>
        <w:pStyle w:val="NormalWeb"/>
        <w:jc w:val="both"/>
      </w:pPr>
      <w:r w:rsidRPr="00623F55">
        <w:t>Os dados fiscais de Maceió e Duque de Caxias permitem quantificar a resposta pública a essa falha de mercado ao longo de uma década. A tabela abaixo apresenta a evolução do gasto municipal em saúde em valores reais deflacionados pelo IPCA base 2022.</w:t>
      </w:r>
    </w:p>
    <w:tbl>
      <w:tblPr>
        <w:tblW w:w="10387" w:type="dxa"/>
        <w:tblInd w:w="-938" w:type="dxa"/>
        <w:tblCellMar>
          <w:left w:w="70" w:type="dxa"/>
          <w:right w:w="70" w:type="dxa"/>
        </w:tblCellMar>
        <w:tblLook w:val="04A0" w:firstRow="1" w:lastRow="0" w:firstColumn="1" w:lastColumn="0" w:noHBand="0" w:noVBand="1"/>
      </w:tblPr>
      <w:tblGrid>
        <w:gridCol w:w="52"/>
        <w:gridCol w:w="533"/>
        <w:gridCol w:w="96"/>
        <w:gridCol w:w="1870"/>
        <w:gridCol w:w="10"/>
        <w:gridCol w:w="1880"/>
        <w:gridCol w:w="90"/>
        <w:gridCol w:w="1870"/>
        <w:gridCol w:w="90"/>
        <w:gridCol w:w="1870"/>
        <w:gridCol w:w="107"/>
        <w:gridCol w:w="1200"/>
        <w:gridCol w:w="107"/>
        <w:gridCol w:w="991"/>
        <w:gridCol w:w="50"/>
      </w:tblGrid>
      <w:tr w:rsidR="00C03EF2" w:rsidRPr="00C03EF2" w14:paraId="7CD0E4FB" w14:textId="77777777" w:rsidTr="00C03EF2">
        <w:trPr>
          <w:gridBefore w:val="1"/>
          <w:gridAfter w:val="1"/>
          <w:wBefore w:w="90" w:type="dxa"/>
          <w:wAfter w:w="90" w:type="dxa"/>
          <w:trHeight w:val="300"/>
        </w:trPr>
        <w:tc>
          <w:tcPr>
            <w:tcW w:w="10207" w:type="dxa"/>
            <w:gridSpan w:val="13"/>
            <w:tcBorders>
              <w:top w:val="nil"/>
              <w:left w:val="nil"/>
              <w:bottom w:val="single" w:sz="4" w:space="0" w:color="auto"/>
              <w:right w:val="nil"/>
            </w:tcBorders>
            <w:shd w:val="clear" w:color="auto" w:fill="auto"/>
            <w:noWrap/>
            <w:vAlign w:val="bottom"/>
            <w:hideMark/>
          </w:tcPr>
          <w:p w14:paraId="133F41E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MACEIÓ - AL</w:t>
            </w:r>
          </w:p>
        </w:tc>
      </w:tr>
      <w:tr w:rsidR="00C03EF2" w:rsidRPr="00C03EF2" w14:paraId="6FD0D579" w14:textId="77777777" w:rsidTr="00C03EF2">
        <w:trPr>
          <w:gridBefore w:val="1"/>
          <w:gridAfter w:val="1"/>
          <w:wBefore w:w="90" w:type="dxa"/>
          <w:wAfter w:w="90" w:type="dxa"/>
          <w:trHeight w:val="1020"/>
        </w:trPr>
        <w:tc>
          <w:tcPr>
            <w:tcW w:w="546" w:type="dxa"/>
            <w:gridSpan w:val="2"/>
            <w:tcBorders>
              <w:top w:val="nil"/>
              <w:left w:val="single" w:sz="4" w:space="0" w:color="auto"/>
              <w:bottom w:val="single" w:sz="4" w:space="0" w:color="auto"/>
              <w:right w:val="single" w:sz="4" w:space="0" w:color="auto"/>
            </w:tcBorders>
            <w:shd w:val="clear" w:color="auto" w:fill="auto"/>
            <w:vAlign w:val="center"/>
            <w:hideMark/>
          </w:tcPr>
          <w:p w14:paraId="74ED60C0"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ANO</w:t>
            </w:r>
          </w:p>
        </w:tc>
        <w:tc>
          <w:tcPr>
            <w:tcW w:w="1880" w:type="dxa"/>
            <w:gridSpan w:val="2"/>
            <w:tcBorders>
              <w:top w:val="nil"/>
              <w:left w:val="nil"/>
              <w:bottom w:val="single" w:sz="4" w:space="0" w:color="auto"/>
              <w:right w:val="single" w:sz="4" w:space="0" w:color="auto"/>
            </w:tcBorders>
            <w:shd w:val="clear" w:color="auto" w:fill="auto"/>
            <w:vAlign w:val="center"/>
            <w:hideMark/>
          </w:tcPr>
          <w:p w14:paraId="51A5916C"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COM SAÚDE</w:t>
            </w:r>
          </w:p>
        </w:tc>
        <w:tc>
          <w:tcPr>
            <w:tcW w:w="1880" w:type="dxa"/>
            <w:tcBorders>
              <w:top w:val="nil"/>
              <w:left w:val="nil"/>
              <w:bottom w:val="single" w:sz="4" w:space="0" w:color="auto"/>
              <w:right w:val="single" w:sz="4" w:space="0" w:color="auto"/>
            </w:tcBorders>
            <w:shd w:val="clear" w:color="auto" w:fill="auto"/>
            <w:vAlign w:val="center"/>
            <w:hideMark/>
          </w:tcPr>
          <w:p w14:paraId="57C8B6D2"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COM SAÚDE - IPCA (2022)</w:t>
            </w:r>
          </w:p>
        </w:tc>
        <w:tc>
          <w:tcPr>
            <w:tcW w:w="1960" w:type="dxa"/>
            <w:gridSpan w:val="2"/>
            <w:tcBorders>
              <w:top w:val="nil"/>
              <w:left w:val="nil"/>
              <w:bottom w:val="single" w:sz="4" w:space="0" w:color="auto"/>
              <w:right w:val="single" w:sz="4" w:space="0" w:color="auto"/>
            </w:tcBorders>
            <w:shd w:val="clear" w:color="auto" w:fill="auto"/>
            <w:vAlign w:val="center"/>
            <w:hideMark/>
          </w:tcPr>
          <w:p w14:paraId="4A1A8748"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TOTAL</w:t>
            </w:r>
          </w:p>
        </w:tc>
        <w:tc>
          <w:tcPr>
            <w:tcW w:w="1960" w:type="dxa"/>
            <w:gridSpan w:val="2"/>
            <w:tcBorders>
              <w:top w:val="nil"/>
              <w:left w:val="nil"/>
              <w:bottom w:val="single" w:sz="4" w:space="0" w:color="auto"/>
              <w:right w:val="single" w:sz="4" w:space="0" w:color="auto"/>
            </w:tcBorders>
            <w:shd w:val="clear" w:color="auto" w:fill="auto"/>
            <w:vAlign w:val="center"/>
            <w:hideMark/>
          </w:tcPr>
          <w:p w14:paraId="76C4ABB2"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TOTAL - IPCA (2022)</w:t>
            </w:r>
          </w:p>
        </w:tc>
        <w:tc>
          <w:tcPr>
            <w:tcW w:w="1103" w:type="dxa"/>
            <w:gridSpan w:val="2"/>
            <w:tcBorders>
              <w:top w:val="nil"/>
              <w:left w:val="nil"/>
              <w:bottom w:val="single" w:sz="4" w:space="0" w:color="auto"/>
              <w:right w:val="single" w:sz="4" w:space="0" w:color="auto"/>
            </w:tcBorders>
            <w:shd w:val="clear" w:color="auto" w:fill="auto"/>
            <w:vAlign w:val="center"/>
            <w:hideMark/>
          </w:tcPr>
          <w:p w14:paraId="71FBC3FF"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FATOR DE CORREÇÃO IPCA</w:t>
            </w:r>
          </w:p>
        </w:tc>
        <w:tc>
          <w:tcPr>
            <w:tcW w:w="878" w:type="dxa"/>
            <w:gridSpan w:val="2"/>
            <w:tcBorders>
              <w:top w:val="nil"/>
              <w:left w:val="nil"/>
              <w:bottom w:val="single" w:sz="4" w:space="0" w:color="auto"/>
              <w:right w:val="single" w:sz="4" w:space="0" w:color="auto"/>
            </w:tcBorders>
            <w:shd w:val="clear" w:color="auto" w:fill="auto"/>
            <w:vAlign w:val="center"/>
            <w:hideMark/>
          </w:tcPr>
          <w:p w14:paraId="629B030C"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PESO DA DESPESA COM SAUDE</w:t>
            </w:r>
          </w:p>
        </w:tc>
      </w:tr>
      <w:tr w:rsidR="00C03EF2" w:rsidRPr="00C03EF2" w14:paraId="2CADCF0B"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399A754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2013</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7592C5A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477.335.697,99 </w:t>
            </w:r>
          </w:p>
        </w:tc>
        <w:tc>
          <w:tcPr>
            <w:tcW w:w="1880" w:type="dxa"/>
            <w:tcBorders>
              <w:top w:val="nil"/>
              <w:left w:val="nil"/>
              <w:bottom w:val="single" w:sz="4" w:space="0" w:color="auto"/>
              <w:right w:val="single" w:sz="4" w:space="0" w:color="auto"/>
            </w:tcBorders>
            <w:shd w:val="clear" w:color="auto" w:fill="auto"/>
            <w:noWrap/>
            <w:vAlign w:val="bottom"/>
            <w:hideMark/>
          </w:tcPr>
          <w:p w14:paraId="1AB5070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815.304.408,24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2DDBB1D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1.565.417.025,11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60419F0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2.673.781.589,52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507FA6C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1,70803150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4C2E70E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30%</w:t>
            </w:r>
          </w:p>
        </w:tc>
      </w:tr>
      <w:tr w:rsidR="00C03EF2" w:rsidRPr="00C03EF2" w14:paraId="1BE8A4CE"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22ECA84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2014</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6C003FA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556.742.142,69 </w:t>
            </w:r>
          </w:p>
        </w:tc>
        <w:tc>
          <w:tcPr>
            <w:tcW w:w="1880" w:type="dxa"/>
            <w:tcBorders>
              <w:top w:val="nil"/>
              <w:left w:val="nil"/>
              <w:bottom w:val="single" w:sz="4" w:space="0" w:color="auto"/>
              <w:right w:val="single" w:sz="4" w:space="0" w:color="auto"/>
            </w:tcBorders>
            <w:shd w:val="clear" w:color="auto" w:fill="auto"/>
            <w:noWrap/>
            <w:vAlign w:val="bottom"/>
            <w:hideMark/>
          </w:tcPr>
          <w:p w14:paraId="6096A25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897.862.117,73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DDDBD3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1.742.310.692,21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EAFCA6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2.809.837.172,20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08F3D35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1,61270730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0CFE895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32%</w:t>
            </w:r>
          </w:p>
        </w:tc>
      </w:tr>
      <w:tr w:rsidR="00C03EF2" w:rsidRPr="00C03EF2" w14:paraId="57F97B69"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47073B8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2015</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7B83182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524.669.394,06 </w:t>
            </w:r>
          </w:p>
        </w:tc>
        <w:tc>
          <w:tcPr>
            <w:tcW w:w="1880" w:type="dxa"/>
            <w:tcBorders>
              <w:top w:val="nil"/>
              <w:left w:val="nil"/>
              <w:bottom w:val="single" w:sz="4" w:space="0" w:color="auto"/>
              <w:right w:val="single" w:sz="4" w:space="0" w:color="auto"/>
            </w:tcBorders>
            <w:shd w:val="clear" w:color="auto" w:fill="auto"/>
            <w:noWrap/>
            <w:vAlign w:val="bottom"/>
            <w:hideMark/>
          </w:tcPr>
          <w:p w14:paraId="6F41C0B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795.185.680,69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488C248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1.740.515.219,68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4362DB8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2.637.914.075,75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428C037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1,51559380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106D9BA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30%</w:t>
            </w:r>
          </w:p>
        </w:tc>
      </w:tr>
      <w:tr w:rsidR="00C03EF2" w:rsidRPr="00C03EF2" w14:paraId="2BA2A662"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19003CE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2016</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392CD73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561.382.779,54 </w:t>
            </w:r>
          </w:p>
        </w:tc>
        <w:tc>
          <w:tcPr>
            <w:tcW w:w="1880" w:type="dxa"/>
            <w:tcBorders>
              <w:top w:val="nil"/>
              <w:left w:val="nil"/>
              <w:bottom w:val="single" w:sz="4" w:space="0" w:color="auto"/>
              <w:right w:val="single" w:sz="4" w:space="0" w:color="auto"/>
            </w:tcBorders>
            <w:shd w:val="clear" w:color="auto" w:fill="auto"/>
            <w:noWrap/>
            <w:vAlign w:val="bottom"/>
            <w:hideMark/>
          </w:tcPr>
          <w:p w14:paraId="0848168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768.773.297,02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0959E9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1.830.767.408,30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6F3289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2.507.104.150,41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0968A86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1,36942800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0F11742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31%</w:t>
            </w:r>
          </w:p>
        </w:tc>
      </w:tr>
      <w:tr w:rsidR="00C03EF2" w:rsidRPr="00C03EF2" w14:paraId="39426772"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19D5D4B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2017</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3B4F606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611.218.439,71 </w:t>
            </w:r>
          </w:p>
        </w:tc>
        <w:tc>
          <w:tcPr>
            <w:tcW w:w="1880" w:type="dxa"/>
            <w:tcBorders>
              <w:top w:val="nil"/>
              <w:left w:val="nil"/>
              <w:bottom w:val="single" w:sz="4" w:space="0" w:color="auto"/>
              <w:right w:val="single" w:sz="4" w:space="0" w:color="auto"/>
            </w:tcBorders>
            <w:shd w:val="clear" w:color="auto" w:fill="auto"/>
            <w:noWrap/>
            <w:vAlign w:val="bottom"/>
            <w:hideMark/>
          </w:tcPr>
          <w:p w14:paraId="6F313D88"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787.501.111,22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4F12718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1.928.298.676,77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1995FA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2.484.442.961,90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43F7FBF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1,28841190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1B8ADCB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32%</w:t>
            </w:r>
          </w:p>
        </w:tc>
      </w:tr>
      <w:tr w:rsidR="00C03EF2" w:rsidRPr="00C03EF2" w14:paraId="331365E2"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438749C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2018</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3825DDB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774.301.904,96 </w:t>
            </w:r>
          </w:p>
        </w:tc>
        <w:tc>
          <w:tcPr>
            <w:tcW w:w="1880" w:type="dxa"/>
            <w:tcBorders>
              <w:top w:val="nil"/>
              <w:left w:val="nil"/>
              <w:bottom w:val="single" w:sz="4" w:space="0" w:color="auto"/>
              <w:right w:val="single" w:sz="4" w:space="0" w:color="auto"/>
            </w:tcBorders>
            <w:shd w:val="clear" w:color="auto" w:fill="auto"/>
            <w:noWrap/>
            <w:vAlign w:val="bottom"/>
            <w:hideMark/>
          </w:tcPr>
          <w:p w14:paraId="1FB866F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969.058.269,04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052DA4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2.344.846.254,85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58C0F9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2.934.633.943,59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693EBFC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1,25152510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274F94F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33%</w:t>
            </w:r>
          </w:p>
        </w:tc>
      </w:tr>
      <w:tr w:rsidR="00C03EF2" w:rsidRPr="00C03EF2" w14:paraId="7597678E"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0A385CE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2019</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2F4FEC0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728.467.527,54 </w:t>
            </w:r>
          </w:p>
        </w:tc>
        <w:tc>
          <w:tcPr>
            <w:tcW w:w="1880" w:type="dxa"/>
            <w:tcBorders>
              <w:top w:val="nil"/>
              <w:left w:val="nil"/>
              <w:bottom w:val="single" w:sz="4" w:space="0" w:color="auto"/>
              <w:right w:val="single" w:sz="4" w:space="0" w:color="auto"/>
            </w:tcBorders>
            <w:shd w:val="clear" w:color="auto" w:fill="auto"/>
            <w:noWrap/>
            <w:vAlign w:val="bottom"/>
            <w:hideMark/>
          </w:tcPr>
          <w:p w14:paraId="281F46B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878.780.828,41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2E81FA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2.253.060.038,81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2E13800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2.717.960.502,73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3D24042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1,20634180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29C13EE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32%</w:t>
            </w:r>
          </w:p>
        </w:tc>
      </w:tr>
      <w:tr w:rsidR="00C03EF2" w:rsidRPr="00C03EF2" w14:paraId="625CB503"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4C6C968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2020</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7CD811F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785.345.027,56 </w:t>
            </w:r>
          </w:p>
        </w:tc>
        <w:tc>
          <w:tcPr>
            <w:tcW w:w="1880" w:type="dxa"/>
            <w:tcBorders>
              <w:top w:val="nil"/>
              <w:left w:val="nil"/>
              <w:bottom w:val="single" w:sz="4" w:space="0" w:color="auto"/>
              <w:right w:val="single" w:sz="4" w:space="0" w:color="auto"/>
            </w:tcBorders>
            <w:shd w:val="clear" w:color="auto" w:fill="auto"/>
            <w:noWrap/>
            <w:vAlign w:val="bottom"/>
            <w:hideMark/>
          </w:tcPr>
          <w:p w14:paraId="0835DE7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908.283.487,92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5A3410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2.388.515.725,45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3302C1A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2.762.415.649,07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0BCBCCC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1,15654070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247CC9F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33%</w:t>
            </w:r>
          </w:p>
        </w:tc>
      </w:tr>
      <w:tr w:rsidR="00C03EF2" w:rsidRPr="00C03EF2" w14:paraId="3FC0AD2A"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19991B58"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2021</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21BABDF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757.830.612,74 </w:t>
            </w:r>
          </w:p>
        </w:tc>
        <w:tc>
          <w:tcPr>
            <w:tcW w:w="1880" w:type="dxa"/>
            <w:tcBorders>
              <w:top w:val="nil"/>
              <w:left w:val="nil"/>
              <w:bottom w:val="single" w:sz="4" w:space="0" w:color="auto"/>
              <w:right w:val="single" w:sz="4" w:space="0" w:color="auto"/>
            </w:tcBorders>
            <w:shd w:val="clear" w:color="auto" w:fill="auto"/>
            <w:noWrap/>
            <w:vAlign w:val="bottom"/>
            <w:hideMark/>
          </w:tcPr>
          <w:p w14:paraId="14173D2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838.580.344,28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A92858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2.373.360.765,22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421A070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2.626.251.373,53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7B8D6A9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1,10655380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7B3F202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32%</w:t>
            </w:r>
          </w:p>
        </w:tc>
      </w:tr>
      <w:tr w:rsidR="00C03EF2" w:rsidRPr="00C03EF2" w14:paraId="3F852B25" w14:textId="77777777" w:rsidTr="00C03EF2">
        <w:trPr>
          <w:gridBefore w:val="1"/>
          <w:gridAfter w:val="1"/>
          <w:wBefore w:w="90" w:type="dxa"/>
          <w:wAfter w:w="90" w:type="dxa"/>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5DC004F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2022</w:t>
            </w:r>
          </w:p>
        </w:tc>
        <w:tc>
          <w:tcPr>
            <w:tcW w:w="1880" w:type="dxa"/>
            <w:gridSpan w:val="2"/>
            <w:tcBorders>
              <w:top w:val="nil"/>
              <w:left w:val="nil"/>
              <w:bottom w:val="single" w:sz="4" w:space="0" w:color="auto"/>
              <w:right w:val="single" w:sz="4" w:space="0" w:color="auto"/>
            </w:tcBorders>
            <w:shd w:val="clear" w:color="auto" w:fill="auto"/>
            <w:noWrap/>
            <w:vAlign w:val="bottom"/>
            <w:hideMark/>
          </w:tcPr>
          <w:p w14:paraId="2A8C4AD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862.104.716,50 </w:t>
            </w:r>
          </w:p>
        </w:tc>
        <w:tc>
          <w:tcPr>
            <w:tcW w:w="1880" w:type="dxa"/>
            <w:tcBorders>
              <w:top w:val="nil"/>
              <w:left w:val="nil"/>
              <w:bottom w:val="single" w:sz="4" w:space="0" w:color="auto"/>
              <w:right w:val="single" w:sz="4" w:space="0" w:color="auto"/>
            </w:tcBorders>
            <w:shd w:val="clear" w:color="auto" w:fill="auto"/>
            <w:noWrap/>
            <w:vAlign w:val="bottom"/>
            <w:hideMark/>
          </w:tcPr>
          <w:p w14:paraId="6320917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866.760.081,97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73788CB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3.194.837.137,00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72BC360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3.212.089.257,54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3972999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1,00540000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7C7C16D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27%</w:t>
            </w:r>
          </w:p>
        </w:tc>
      </w:tr>
      <w:tr w:rsidR="00C03EF2" w:rsidRPr="00C03EF2" w14:paraId="732E00CE" w14:textId="77777777" w:rsidTr="00C03EF2">
        <w:trPr>
          <w:trHeight w:val="300"/>
        </w:trPr>
        <w:tc>
          <w:tcPr>
            <w:tcW w:w="10387" w:type="dxa"/>
            <w:gridSpan w:val="15"/>
            <w:tcBorders>
              <w:top w:val="nil"/>
              <w:left w:val="nil"/>
              <w:bottom w:val="single" w:sz="4" w:space="0" w:color="auto"/>
              <w:right w:val="nil"/>
            </w:tcBorders>
            <w:shd w:val="clear" w:color="auto" w:fill="auto"/>
            <w:noWrap/>
            <w:vAlign w:val="bottom"/>
            <w:hideMark/>
          </w:tcPr>
          <w:p w14:paraId="010D381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DUQUE DE CAXIAS - RJ</w:t>
            </w:r>
          </w:p>
        </w:tc>
      </w:tr>
      <w:tr w:rsidR="00C03EF2" w:rsidRPr="00C03EF2" w14:paraId="2EAC4DC6" w14:textId="77777777" w:rsidTr="00C03EF2">
        <w:trPr>
          <w:trHeight w:val="1020"/>
        </w:trPr>
        <w:tc>
          <w:tcPr>
            <w:tcW w:w="546" w:type="dxa"/>
            <w:gridSpan w:val="2"/>
            <w:tcBorders>
              <w:top w:val="nil"/>
              <w:left w:val="single" w:sz="4" w:space="0" w:color="auto"/>
              <w:bottom w:val="single" w:sz="4" w:space="0" w:color="auto"/>
              <w:right w:val="single" w:sz="4" w:space="0" w:color="auto"/>
            </w:tcBorders>
            <w:shd w:val="clear" w:color="auto" w:fill="auto"/>
            <w:vAlign w:val="center"/>
            <w:hideMark/>
          </w:tcPr>
          <w:p w14:paraId="46E1C3FD"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ANO</w:t>
            </w:r>
          </w:p>
        </w:tc>
        <w:tc>
          <w:tcPr>
            <w:tcW w:w="1960" w:type="dxa"/>
            <w:gridSpan w:val="2"/>
            <w:tcBorders>
              <w:top w:val="nil"/>
              <w:left w:val="nil"/>
              <w:bottom w:val="single" w:sz="4" w:space="0" w:color="auto"/>
              <w:right w:val="single" w:sz="4" w:space="0" w:color="auto"/>
            </w:tcBorders>
            <w:shd w:val="clear" w:color="auto" w:fill="auto"/>
            <w:vAlign w:val="center"/>
            <w:hideMark/>
          </w:tcPr>
          <w:p w14:paraId="5E28AE87"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COM SAÚDE</w:t>
            </w:r>
          </w:p>
        </w:tc>
        <w:tc>
          <w:tcPr>
            <w:tcW w:w="1980" w:type="dxa"/>
            <w:gridSpan w:val="3"/>
            <w:tcBorders>
              <w:top w:val="nil"/>
              <w:left w:val="nil"/>
              <w:bottom w:val="single" w:sz="4" w:space="0" w:color="auto"/>
              <w:right w:val="single" w:sz="4" w:space="0" w:color="auto"/>
            </w:tcBorders>
            <w:shd w:val="clear" w:color="auto" w:fill="auto"/>
            <w:vAlign w:val="center"/>
            <w:hideMark/>
          </w:tcPr>
          <w:p w14:paraId="59BC6747"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COM SAÚDE - IPCA (2022)</w:t>
            </w:r>
          </w:p>
        </w:tc>
        <w:tc>
          <w:tcPr>
            <w:tcW w:w="1960" w:type="dxa"/>
            <w:gridSpan w:val="2"/>
            <w:tcBorders>
              <w:top w:val="nil"/>
              <w:left w:val="nil"/>
              <w:bottom w:val="single" w:sz="4" w:space="0" w:color="auto"/>
              <w:right w:val="single" w:sz="4" w:space="0" w:color="auto"/>
            </w:tcBorders>
            <w:shd w:val="clear" w:color="auto" w:fill="auto"/>
            <w:vAlign w:val="center"/>
            <w:hideMark/>
          </w:tcPr>
          <w:p w14:paraId="2BD300C3"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TOTAL</w:t>
            </w:r>
          </w:p>
        </w:tc>
        <w:tc>
          <w:tcPr>
            <w:tcW w:w="1960" w:type="dxa"/>
            <w:gridSpan w:val="2"/>
            <w:tcBorders>
              <w:top w:val="nil"/>
              <w:left w:val="nil"/>
              <w:bottom w:val="single" w:sz="4" w:space="0" w:color="auto"/>
              <w:right w:val="single" w:sz="4" w:space="0" w:color="auto"/>
            </w:tcBorders>
            <w:shd w:val="clear" w:color="auto" w:fill="auto"/>
            <w:vAlign w:val="center"/>
            <w:hideMark/>
          </w:tcPr>
          <w:p w14:paraId="58D0F6E1"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DESPESA TOTAL - IPCA (2022)</w:t>
            </w:r>
          </w:p>
        </w:tc>
        <w:tc>
          <w:tcPr>
            <w:tcW w:w="1103" w:type="dxa"/>
            <w:gridSpan w:val="2"/>
            <w:tcBorders>
              <w:top w:val="nil"/>
              <w:left w:val="nil"/>
              <w:bottom w:val="single" w:sz="4" w:space="0" w:color="auto"/>
              <w:right w:val="single" w:sz="4" w:space="0" w:color="auto"/>
            </w:tcBorders>
            <w:shd w:val="clear" w:color="auto" w:fill="auto"/>
            <w:vAlign w:val="center"/>
            <w:hideMark/>
          </w:tcPr>
          <w:p w14:paraId="639BFEDC"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FATOR DE CORREÇÃO IPCA</w:t>
            </w:r>
          </w:p>
        </w:tc>
        <w:tc>
          <w:tcPr>
            <w:tcW w:w="878" w:type="dxa"/>
            <w:gridSpan w:val="2"/>
            <w:tcBorders>
              <w:top w:val="nil"/>
              <w:left w:val="nil"/>
              <w:bottom w:val="single" w:sz="4" w:space="0" w:color="auto"/>
              <w:right w:val="single" w:sz="4" w:space="0" w:color="auto"/>
            </w:tcBorders>
            <w:shd w:val="clear" w:color="auto" w:fill="auto"/>
            <w:vAlign w:val="center"/>
            <w:hideMark/>
          </w:tcPr>
          <w:p w14:paraId="728D380D" w14:textId="77777777" w:rsidR="00C03EF2" w:rsidRPr="00C03EF2" w:rsidRDefault="00C03EF2" w:rsidP="00C03EF2">
            <w:pPr>
              <w:spacing w:after="0" w:line="240" w:lineRule="auto"/>
              <w:jc w:val="both"/>
              <w:rPr>
                <w:rFonts w:ascii="Times New Roman" w:eastAsia="Times New Roman" w:hAnsi="Times New Roman" w:cs="Times New Roman"/>
                <w:b/>
                <w:bCs/>
                <w:color w:val="000000"/>
                <w:sz w:val="20"/>
                <w:szCs w:val="20"/>
                <w:lang w:eastAsia="pt-BR"/>
              </w:rPr>
            </w:pPr>
            <w:r w:rsidRPr="00C03EF2">
              <w:rPr>
                <w:rFonts w:ascii="Times New Roman" w:eastAsia="Times New Roman" w:hAnsi="Times New Roman" w:cs="Times New Roman"/>
                <w:b/>
                <w:bCs/>
                <w:color w:val="000000"/>
                <w:sz w:val="20"/>
                <w:szCs w:val="20"/>
                <w:lang w:eastAsia="pt-BR"/>
              </w:rPr>
              <w:t>PESO DA DESPESA COM SAUDE</w:t>
            </w:r>
          </w:p>
        </w:tc>
      </w:tr>
      <w:tr w:rsidR="00C03EF2" w:rsidRPr="00C03EF2" w14:paraId="4FDCA4B7"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233072E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2013</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4B5F1A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434.112.784,87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23052BD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741.478.311,11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86F1D6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1.725.199.163,51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79C8243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2.946.694.515,05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0E22B22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1,70803150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6419E11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25%</w:t>
            </w:r>
          </w:p>
        </w:tc>
      </w:tr>
      <w:tr w:rsidR="00C03EF2" w:rsidRPr="00C03EF2" w14:paraId="37D867DF"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5EA7E24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2014</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699FFFC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532.332.688,31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3A2359A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858.496.812,47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7933C4B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1.958.937.749,53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20DB6C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3.159.193.208,91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7328FF1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1,61270730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06CE6A8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27%</w:t>
            </w:r>
          </w:p>
        </w:tc>
      </w:tr>
      <w:tr w:rsidR="00C03EF2" w:rsidRPr="00C03EF2" w14:paraId="1C454224"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0415B8C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2015</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05E207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583.285.998,07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4610CA0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884.024.642,30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D2342FE"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2.222.493.042,69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CCDB29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3.368.396.676,04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1A48F3B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1,51559380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7BB9A6E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26%</w:t>
            </w:r>
          </w:p>
        </w:tc>
      </w:tr>
      <w:tr w:rsidR="00C03EF2" w:rsidRPr="00C03EF2" w14:paraId="400A98C0"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071E8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2016</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342B8E9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566.672.558,84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060922E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776.017.268,91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278BA8D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2.260.668.306,33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33D831A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3.095.822.477,40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07F63B8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1,36942800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0C5550D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25%</w:t>
            </w:r>
          </w:p>
        </w:tc>
      </w:tr>
      <w:tr w:rsidR="00C03EF2" w:rsidRPr="00C03EF2" w14:paraId="052E3B9D"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7192DF6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2017</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2A90801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486.474.699,87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048E523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626.779.792,36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62F4BE60"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2.205.543.493,81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6238642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2.841.648.483,39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28663E7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1,28841190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757784C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22%</w:t>
            </w:r>
          </w:p>
        </w:tc>
      </w:tr>
      <w:tr w:rsidR="00C03EF2" w:rsidRPr="00C03EF2" w14:paraId="07C52227"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59B19DD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2018</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E006C7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573.551.650,44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414CD4C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717.814.286,67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3B8C038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2.314.970.573,23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5702A1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2.897.243.778,16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3B0B51E1"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1,25152510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3C50EDF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25%</w:t>
            </w:r>
          </w:p>
        </w:tc>
      </w:tr>
      <w:tr w:rsidR="00C03EF2" w:rsidRPr="00C03EF2" w14:paraId="7705A9B2"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30BBDF5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2019</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3274477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647.637.984,12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31E6ED9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781.272.771,51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3364ECB"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2.522.948.039,80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579826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3.043.537.679,64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318CC69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1,20634180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00AC8F64"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26%</w:t>
            </w:r>
          </w:p>
        </w:tc>
      </w:tr>
      <w:tr w:rsidR="00C03EF2" w:rsidRPr="00C03EF2" w14:paraId="6170252A"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2F4BFE9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2020</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173901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896.484.203,96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196BD85D"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1.036.820.468,79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595833FC"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2.842.762.554,60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27CF405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3.287.770.594,83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54E3EB6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1,15654070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46CA7ED2"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32%</w:t>
            </w:r>
          </w:p>
        </w:tc>
      </w:tr>
      <w:tr w:rsidR="00C03EF2" w:rsidRPr="00C03EF2" w14:paraId="2D15B418"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264EA52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2021</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3222D4C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1.060.772.497,73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7D48FF86"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1.173.801.838,30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747FAAD7"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3.272.948.555,83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60CA0159"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3.621.693.661,66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40A2AE4A"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1,10655380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3C05297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32%</w:t>
            </w:r>
          </w:p>
        </w:tc>
      </w:tr>
      <w:tr w:rsidR="00C03EF2" w:rsidRPr="00C03EF2" w14:paraId="7CA47660" w14:textId="77777777" w:rsidTr="00C03EF2">
        <w:trPr>
          <w:trHeight w:val="300"/>
        </w:trPr>
        <w:tc>
          <w:tcPr>
            <w:tcW w:w="546" w:type="dxa"/>
            <w:gridSpan w:val="2"/>
            <w:tcBorders>
              <w:top w:val="nil"/>
              <w:left w:val="single" w:sz="4" w:space="0" w:color="auto"/>
              <w:bottom w:val="single" w:sz="4" w:space="0" w:color="auto"/>
              <w:right w:val="single" w:sz="4" w:space="0" w:color="auto"/>
            </w:tcBorders>
            <w:shd w:val="clear" w:color="auto" w:fill="auto"/>
            <w:noWrap/>
            <w:vAlign w:val="bottom"/>
            <w:hideMark/>
          </w:tcPr>
          <w:p w14:paraId="34AAD715"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2022</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190A1CB8"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1.511.470.199,43 </w:t>
            </w:r>
          </w:p>
        </w:tc>
        <w:tc>
          <w:tcPr>
            <w:tcW w:w="1980" w:type="dxa"/>
            <w:gridSpan w:val="3"/>
            <w:tcBorders>
              <w:top w:val="nil"/>
              <w:left w:val="nil"/>
              <w:bottom w:val="single" w:sz="4" w:space="0" w:color="auto"/>
              <w:right w:val="single" w:sz="4" w:space="0" w:color="auto"/>
            </w:tcBorders>
            <w:shd w:val="clear" w:color="auto" w:fill="auto"/>
            <w:noWrap/>
            <w:vAlign w:val="bottom"/>
            <w:hideMark/>
          </w:tcPr>
          <w:p w14:paraId="33FC7B6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1.519.632.138,51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781655CF"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4.049.725.836,19 </w:t>
            </w:r>
          </w:p>
        </w:tc>
        <w:tc>
          <w:tcPr>
            <w:tcW w:w="1960" w:type="dxa"/>
            <w:gridSpan w:val="2"/>
            <w:tcBorders>
              <w:top w:val="nil"/>
              <w:left w:val="nil"/>
              <w:bottom w:val="single" w:sz="4" w:space="0" w:color="auto"/>
              <w:right w:val="single" w:sz="4" w:space="0" w:color="auto"/>
            </w:tcBorders>
            <w:shd w:val="clear" w:color="auto" w:fill="auto"/>
            <w:noWrap/>
            <w:vAlign w:val="bottom"/>
            <w:hideMark/>
          </w:tcPr>
          <w:p w14:paraId="0BE6E608"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 xml:space="preserve"> R$   4.071.594.355,71 </w:t>
            </w:r>
          </w:p>
        </w:tc>
        <w:tc>
          <w:tcPr>
            <w:tcW w:w="1103" w:type="dxa"/>
            <w:gridSpan w:val="2"/>
            <w:tcBorders>
              <w:top w:val="nil"/>
              <w:left w:val="nil"/>
              <w:bottom w:val="single" w:sz="4" w:space="0" w:color="auto"/>
              <w:right w:val="single" w:sz="4" w:space="0" w:color="auto"/>
            </w:tcBorders>
            <w:shd w:val="clear" w:color="auto" w:fill="auto"/>
            <w:noWrap/>
            <w:vAlign w:val="bottom"/>
            <w:hideMark/>
          </w:tcPr>
          <w:p w14:paraId="34136FE3"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1,00540000</w:t>
            </w:r>
          </w:p>
        </w:tc>
        <w:tc>
          <w:tcPr>
            <w:tcW w:w="878" w:type="dxa"/>
            <w:gridSpan w:val="2"/>
            <w:tcBorders>
              <w:top w:val="nil"/>
              <w:left w:val="nil"/>
              <w:bottom w:val="single" w:sz="4" w:space="0" w:color="auto"/>
              <w:right w:val="single" w:sz="4" w:space="0" w:color="auto"/>
            </w:tcBorders>
            <w:shd w:val="clear" w:color="auto" w:fill="auto"/>
            <w:noWrap/>
            <w:vAlign w:val="bottom"/>
            <w:hideMark/>
          </w:tcPr>
          <w:p w14:paraId="68B82D08" w14:textId="77777777" w:rsidR="00C03EF2" w:rsidRPr="00C03EF2" w:rsidRDefault="00C03EF2" w:rsidP="00C03EF2">
            <w:pPr>
              <w:spacing w:after="0" w:line="240" w:lineRule="auto"/>
              <w:jc w:val="both"/>
              <w:rPr>
                <w:rFonts w:ascii="Times New Roman" w:eastAsia="Times New Roman" w:hAnsi="Times New Roman" w:cs="Times New Roman"/>
                <w:color w:val="000000"/>
                <w:sz w:val="20"/>
                <w:szCs w:val="20"/>
                <w:lang w:eastAsia="pt-BR"/>
              </w:rPr>
            </w:pPr>
            <w:r w:rsidRPr="00C03EF2">
              <w:rPr>
                <w:rFonts w:ascii="Times New Roman" w:eastAsia="Times New Roman" w:hAnsi="Times New Roman" w:cs="Times New Roman"/>
                <w:color w:val="000000"/>
                <w:sz w:val="20"/>
                <w:szCs w:val="20"/>
                <w:lang w:eastAsia="pt-BR"/>
              </w:rPr>
              <w:t>37%</w:t>
            </w:r>
          </w:p>
        </w:tc>
      </w:tr>
    </w:tbl>
    <w:p w14:paraId="34B18DB1" w14:textId="77777777" w:rsidR="00C03EF2" w:rsidRPr="00623F55" w:rsidRDefault="00C03EF2" w:rsidP="00C03EF2">
      <w:pPr>
        <w:pStyle w:val="NormalWeb"/>
        <w:jc w:val="both"/>
      </w:pPr>
      <w:r w:rsidRPr="00623F55">
        <w:t>Em Maceió, o gasto real em saúde oscilou ao longo do período, atingindo seu pico em 2018 com R$ 969,1 milhões e apresentando retração nos anos seguintes, inclusive durante a pandemia de 2020 e 2021, quando registrou R$ 908,3 milhões e R$ 838,6 milhões respectivamente. Esse comportamento é contraintuitivo à primeira vista, mas pode ser explicado pelo redirecionamento de recursos para transferências emergenciais federais diretas à população, que desafogaram parcialmente a demanda sobre a rede municipal. Em 2022, o gasto se recuperou para R$ 866,8 milhões, mas sua participação na despesa total recuou para 26,99%, o menor patamar da série, em decorrência da expansão acelerada de outras rubricas de despesa naquele ano.</w:t>
      </w:r>
    </w:p>
    <w:p w14:paraId="1A959000" w14:textId="77777777" w:rsidR="00C03EF2" w:rsidRPr="00623F55" w:rsidRDefault="00C03EF2" w:rsidP="00C03EF2">
      <w:pPr>
        <w:pStyle w:val="NormalWeb"/>
        <w:jc w:val="both"/>
      </w:pPr>
      <w:r w:rsidRPr="00623F55">
        <w:lastRenderedPageBreak/>
        <w:t>Em Duque de Caxias, a trajetória é diametralmente oposta e ilustra com clareza a resposta fiscal à falha de mercado em contexto de choque sanitário. O gasto em saúde cresceu de R$ 741,5 milhões em 2013 para R$ 1,52 bilhão em 2022, expansão real de 105% na década. O salto mais expressivo ocorreu exatamente entre 2019 e 2022, período pandêmico e pós-pandêmico, quando o gasto praticamente dobrou em termos reais. A participação na despesa total também se elevou, de 25,16% em 2013 para 37,33% em 2022, indicando que a saúde passou a absorver mais de um terço de toda a despesa municipal do ente fluminense, evidência direta de que o poder público local respondeu ativamente à falha de mercado ampliando a provisão pública de serviços de saúde quando a demanda privada estava mais comprimida.</w:t>
      </w:r>
    </w:p>
    <w:p w14:paraId="0FA6E77B" w14:textId="77777777" w:rsidR="00C03EF2" w:rsidRPr="00623F55" w:rsidRDefault="00C03EF2" w:rsidP="00C03EF2">
      <w:pPr>
        <w:pStyle w:val="NormalWeb"/>
        <w:jc w:val="both"/>
      </w:pPr>
      <w:r w:rsidRPr="00623F55">
        <w:t>Um elemento institucional central nessa análise é a Emenda Constitucional 29/2000, regulamentada pela Lei Complementar 141/2012, que estabelece o piso de 15% das receitas correntes líquidas dos municípios a ser aplicado em ações e serviços públicos de saúde. Esse dispositivo funciona como um mecanismo automático de correção da falha de mercado: ao obrigar os municípios a destinar uma parcela mínima de suas receitas à saúde independentemente das preferências políticas do gestor, a norma garante um nível mínimo de provisão pública que o mercado privado, por definição, não ofereceria espontaneamente. Os dados indicam que ambos os municípios operam consistentemente acima desse piso, com médias de 30,92% para Maceió e 30,18% para Duque de Caxias ao longo da série, o que sugere que a demanda local por serviços públicos de saúde pressiona o gasto muito além do mínimo constitucional, reflexo da elevada proporção de população dependente exclusivamente do Sistema Único de Saúde em ambos os municípios.</w:t>
      </w:r>
    </w:p>
    <w:p w14:paraId="72F00DF0" w14:textId="77777777" w:rsidR="00C03EF2" w:rsidRPr="00623F55" w:rsidRDefault="00C03EF2" w:rsidP="00C03EF2">
      <w:pPr>
        <w:pStyle w:val="NormalWeb"/>
        <w:jc w:val="both"/>
      </w:pPr>
      <w:r w:rsidRPr="00623F55">
        <w:t>A existência de gasto público expressivo não implica necessariamente correção eficiente da falha de mercado. A teoria das finanças públicas adverte que a provisão pública pode incorrer em ineficiências alocativas quando os recursos não são direcionados para as intervenções de maior retorno social, como atenção básica e prevenção, em detrimento de procedimentos de alta complexidade e menor abrangência populacional. Os dados disponíveis não permitem decompor o gasto por nível de atenção, mas a discrepância observada entre os dois municípios, com Duque de Caxias gastando R$ 1.519,6 milhões em saúde contra R$ 866,8 milhões de Maceió em 2022, mesmo com populações de tamanho comparável naquele ano, sugere capacidades fiscais e prioridades orçamentárias distintas que merecem investigação mais aprofundada em pesquisas subsequentes.</w:t>
      </w:r>
    </w:p>
    <w:p w14:paraId="6BF8FA31" w14:textId="77777777" w:rsidR="00C03EF2" w:rsidRPr="00623F55" w:rsidRDefault="00C03EF2" w:rsidP="00C03EF2">
      <w:pPr>
        <w:pStyle w:val="NormalWeb"/>
        <w:jc w:val="both"/>
      </w:pPr>
      <w:r w:rsidRPr="00623F55">
        <w:t>Fontes:</w:t>
      </w:r>
    </w:p>
    <w:p w14:paraId="13447D7A" w14:textId="76EA1831" w:rsidR="00C03EF2" w:rsidRPr="00623F55" w:rsidRDefault="00C03EF2" w:rsidP="00C03EF2">
      <w:pPr>
        <w:pStyle w:val="NormalWeb"/>
        <w:jc w:val="both"/>
      </w:pPr>
      <w:r w:rsidRPr="00623F55">
        <w:t>SICONFI/FINBRA, STN:</w:t>
      </w:r>
      <w:r w:rsidRPr="00623F55">
        <w:t xml:space="preserve"> </w:t>
      </w:r>
      <w:hyperlink r:id="rId30" w:history="1">
        <w:r w:rsidRPr="00623F55">
          <w:rPr>
            <w:rStyle w:val="Hyperlink"/>
          </w:rPr>
          <w:t>https://siconfi.tesouro.gov.br/siconfi/pages/public/consulta_finbra/finbra_list.jsf</w:t>
        </w:r>
      </w:hyperlink>
    </w:p>
    <w:p w14:paraId="06593236" w14:textId="04C6C9ED" w:rsidR="00C03EF2" w:rsidRDefault="00C03EF2" w:rsidP="00C03EF2">
      <w:pPr>
        <w:pStyle w:val="NormalWeb"/>
        <w:jc w:val="both"/>
      </w:pPr>
      <w:r w:rsidRPr="00623F55">
        <w:t>IBGE, Estimativas de população:</w:t>
      </w:r>
      <w:r w:rsidRPr="00623F55">
        <w:t xml:space="preserve"> </w:t>
      </w:r>
      <w:hyperlink r:id="rId31" w:history="1">
        <w:r w:rsidRPr="00623F55">
          <w:rPr>
            <w:rStyle w:val="Hyperlink"/>
          </w:rPr>
          <w:t>https://www.ibge.gov.br/estatisticas/sociais/populacao/9103-estimativas-de-populacao.html</w:t>
        </w:r>
      </w:hyperlink>
    </w:p>
    <w:p w14:paraId="593D3109" w14:textId="1B8EF8FE" w:rsidR="00A116D1" w:rsidRDefault="00A116D1" w:rsidP="00C03EF2">
      <w:pPr>
        <w:pStyle w:val="NormalWeb"/>
        <w:jc w:val="both"/>
      </w:pPr>
    </w:p>
    <w:p w14:paraId="56F2F021" w14:textId="34C39A07" w:rsidR="00A116D1" w:rsidRDefault="00A116D1" w:rsidP="00C03EF2">
      <w:pPr>
        <w:pStyle w:val="NormalWeb"/>
        <w:jc w:val="both"/>
      </w:pPr>
      <w:r>
        <w:t>Questão 10)</w:t>
      </w:r>
    </w:p>
    <w:p w14:paraId="2DAC7EC1" w14:textId="77777777" w:rsidR="00A116D1" w:rsidRDefault="00A116D1" w:rsidP="00A116D1">
      <w:pPr>
        <w:pStyle w:val="NormalWeb"/>
        <w:jc w:val="both"/>
      </w:pPr>
      <w:r>
        <w:lastRenderedPageBreak/>
        <w:t>O diagnóstico fiscal integrado reúne os principais achados das questões anteriores em uma leitura sistêmica da situação fiscal de Maceió, Duque de Caxias e Espanha, permitindo identificar padrões estruturais, vulnerabilidades e implicações de política pública que análises isoladas não conseguem capturar.</w:t>
      </w:r>
    </w:p>
    <w:p w14:paraId="4D877001" w14:textId="77777777" w:rsidR="00A116D1" w:rsidRDefault="00A116D1" w:rsidP="00A116D1">
      <w:pPr>
        <w:pStyle w:val="NormalWeb"/>
        <w:jc w:val="both"/>
      </w:pPr>
      <w:r>
        <w:t>Maceió apresenta um perfil fiscal que pode ser descrito como equilíbrio frágil sustentado externamente. Ao longo de 2013,2022, o município manteve superávit corrente em todos os anos, chegando a R$ 346,9 milhões em 2022 (valores reais, base 2022). Contudo, esse equilíbrio é estruturalmente dependente de transferências correntes, que representaram entre 59% e 69% das receitas correntes ao longo do período. A receita tributária própria cresceu 61,8% em termos reais, o que é positivo, mas ainda insuficiente para reduzir a dependência de repasses federais. O gasto com saúde consumiu entre 28% e 37% da despesa total ao longo do período, pressionando o orçamento de forma crescente. O IDEB avançou de 4,1 em 2013 para 5,4 em 2019, recuando para 4,8 em 2021 por efeito pandêmico, indicando que os gastos com educação produziram resultado até a pandemia, mas a regressão confirmou que o gasto isolado explica apenas 7,9% da variação do indicador. A Curva de Laffer sugere que Maceió ainda está no trecho ascendente da curva, com carga tributária proxy crescendo de 2,08% para 3,20% do PIB, indicando espaço para ampliar a arrecadação própria sem comprometer a base econômica.</w:t>
      </w:r>
    </w:p>
    <w:p w14:paraId="5FE0B18D" w14:textId="77777777" w:rsidR="00A116D1" w:rsidRDefault="00A116D1" w:rsidP="00A116D1">
      <w:pPr>
        <w:pStyle w:val="NormalWeb"/>
        <w:jc w:val="both"/>
      </w:pPr>
      <w:r>
        <w:t>Duque de Caxias apresenta perfil mais complexo e preocupante. Apesar de ter base econômica significativamente mais robusta que Maceió, com PIB per capita real de R$ 81.936 em 2022 contra R$ 30.838 de Maceió, o município registrou déficits em 2016 (R$ 214,8 milhões) e 2022 (R$ 137,1 milhões), evidenciando que capacidade fiscal elevada não garante equilíbrio orçamentário sem controle adequado das despesas. A despesa total cresceu 38,2% em termos reais no período, ritmo muito superior ao crescimento das receitas (23,8%), com as despesas com saúde dobrando em termos reais entre 2013 e 2022 (de R$ 741,5 milhões para R$ 1,519 bilhão). A receita tributária própria, por sua vez, cresceu apenas 9,9% em termos reais, e a carga tributária proxy oscilou sem tendência clara entre 1,13% e 1,66% do PIB, sugerindo que a capacidade de ampliar a arrecadação está limitada pela volatilidade da base econômica ligada ao setor petrolífero. O IDEB avançou marginalmente de 4,4 para 4,7 entre 2013 e 2019, com R² de 0,347 na regressão, indicando correlação mais forte com o gasto do que em Maceió, mas ainda sem significância estatística.</w:t>
      </w:r>
    </w:p>
    <w:p w14:paraId="4A084A3C" w14:textId="77777777" w:rsidR="00A116D1" w:rsidRDefault="00A116D1" w:rsidP="00A116D1">
      <w:pPr>
        <w:pStyle w:val="NormalWeb"/>
        <w:jc w:val="both"/>
      </w:pPr>
      <w:r>
        <w:t>A Espanha apresenta trajetória fiscal marcada por déficits persistentes, porém com consolidação gradual entre 2013 e 2019, quando o déficit real recuou de €88,8 bilhões para €42,6 bilhões, resultado da pressão europeia via Procedimento de Déficit Excessivo. A pandemia reverteu parte desse avanço, elevando o equilíbrio estrutural negativo para €61,7 bilhões em 2020. A dívida bruta atingiu €1,512 trilhão em 2020 e recuou levemente para €1,502 trilhão em 2022, ainda muito acima do teto europeu de 60% do PIB. O modelo autonômico descentralizado pressiona o gasto pelo lado das Comunidades Autônomas, enquanto o parlamentarismo fragmentado dificulta o ajuste político, e a âncora fiscal europeia impõe a disciplina que os mecanismos domésticos sozinhos não garantiriam.</w:t>
      </w:r>
    </w:p>
    <w:p w14:paraId="3B14BBBC" w14:textId="77777777" w:rsidR="00A116D1" w:rsidRDefault="00A116D1" w:rsidP="00A116D1">
      <w:pPr>
        <w:pStyle w:val="NormalWeb"/>
        <w:jc w:val="both"/>
      </w:pPr>
      <w:r>
        <w:t xml:space="preserve">A análise comparativa entre os três entes revela uma assimetria institucional relevante: a Espanha dispõe de camadas sobrepostas de controle fiscal (nacional e supranacional), enquanto os municípios brasileiros dependem de Tribunais de Contas com capacidades técnicas heterogêneas e de sistemas de transferências que criam dependência estrutural </w:t>
      </w:r>
      <w:r>
        <w:lastRenderedPageBreak/>
        <w:t>sem incentivos adequados à geração de receita própria. Essa estrutura é consistente com o diagnóstico de Bresser-Pereira de que a reforma gerencial brasileira avançou nos instrumentos formais mas não transformou a cultura administrativa, e com Giambiagi &amp; Além, que apontam que sustentabilidade fiscal depende menos do volume de recursos e mais da qualidade da gestão orçamentária.</w:t>
      </w:r>
    </w:p>
    <w:p w14:paraId="2572F044" w14:textId="2687DA4E" w:rsidR="00A116D1" w:rsidRDefault="00A116D1" w:rsidP="00A116D1">
      <w:pPr>
        <w:pStyle w:val="NormalWeb"/>
        <w:jc w:val="both"/>
      </w:pPr>
      <w:r>
        <w:t>As principais implicações de política pública que emergem desse diagnóstico são: para Maceió, priorizar a modernização do cadastro imobiliário para ampliar a base do IPTU e avançar na formalização econômica para ampliar o ISS, aproveitando que a carga tributária ainda está no trecho ascendente da Curva de Laffer. Para Duque de Caxias, o desafio central é o controle das despesas obrigatórias, especialmente saúde, e a diversificação da base econômica para reduzir a dependência da REDUC e estabilizar as receitas tributárias. Para a Espanha, a prioridade de médio prazo é a redução gradual da dívida bruta em direção ao teto europeu de 60% do PIB, o que exigirá equilíbrio estrutural positivo sustentado por mais de uma legislatura, algo que o sistema parlamentar fragmentado atual torna politicamente desafiador.</w:t>
      </w:r>
    </w:p>
    <w:p w14:paraId="44CEAACB" w14:textId="6CD189E5" w:rsidR="00827E39" w:rsidRDefault="00827E39" w:rsidP="00A116D1">
      <w:pPr>
        <w:pStyle w:val="NormalWeb"/>
        <w:jc w:val="both"/>
      </w:pPr>
      <w:r>
        <w:t xml:space="preserve">Relatório Power BI: </w:t>
      </w:r>
      <w:hyperlink r:id="rId32" w:history="1">
        <w:r w:rsidRPr="00B24A51">
          <w:rPr>
            <w:rStyle w:val="Hyperlink"/>
          </w:rPr>
          <w:t>https://app.powerbi.com/view?r=eyJrIjoiYzA1MGQ5YjEtODY5Zi00MTAzLWJiYzAtYzRmNTkxNjIzMDQ4IiwidCI6ImVjMzU5YmExLTYzMGItNGQyYi1iODMzLWM4ZTZkNDhmODA1OSJ9</w:t>
        </w:r>
      </w:hyperlink>
    </w:p>
    <w:p w14:paraId="1AB59C6D" w14:textId="14498D3C" w:rsidR="00A116D1" w:rsidRPr="00623F55" w:rsidRDefault="00A116D1" w:rsidP="00A116D1">
      <w:pPr>
        <w:pStyle w:val="NormalWeb"/>
        <w:jc w:val="both"/>
        <w:rPr>
          <w:b/>
          <w:bCs/>
          <w:color w:val="FF0000"/>
        </w:rPr>
      </w:pPr>
      <w:r w:rsidRPr="00623F55">
        <w:rPr>
          <w:b/>
          <w:bCs/>
          <w:color w:val="FF0000"/>
        </w:rPr>
        <w:t xml:space="preserve">O LINK PARA O </w:t>
      </w:r>
      <w:r>
        <w:rPr>
          <w:b/>
          <w:bCs/>
          <w:color w:val="FF0000"/>
        </w:rPr>
        <w:t>POWER</w:t>
      </w:r>
      <w:r w:rsidRPr="00623F55">
        <w:rPr>
          <w:b/>
          <w:bCs/>
          <w:color w:val="FF0000"/>
        </w:rPr>
        <w:t xml:space="preserve"> TAMBÉM SERÁ DISPONIBILIZADO NO GITHUB</w:t>
      </w:r>
    </w:p>
    <w:p w14:paraId="304DF976" w14:textId="77777777" w:rsidR="00A116D1" w:rsidRDefault="00A116D1" w:rsidP="00A116D1">
      <w:pPr>
        <w:pStyle w:val="NormalWeb"/>
        <w:jc w:val="both"/>
      </w:pPr>
      <w:r>
        <w:t>Fontes:</w:t>
      </w:r>
    </w:p>
    <w:p w14:paraId="3A68001B" w14:textId="77777777" w:rsidR="00A116D1" w:rsidRDefault="00A116D1" w:rsidP="00A116D1">
      <w:pPr>
        <w:pStyle w:val="NormalWeb"/>
        <w:jc w:val="both"/>
      </w:pPr>
    </w:p>
    <w:p w14:paraId="42D8D64A" w14:textId="4DD3F50A" w:rsidR="00A116D1" w:rsidRDefault="00A116D1" w:rsidP="00A116D1">
      <w:pPr>
        <w:pStyle w:val="NormalWeb"/>
        <w:jc w:val="both"/>
      </w:pPr>
      <w:r>
        <w:t xml:space="preserve">SICONFI/FINBRA, STN: </w:t>
      </w:r>
      <w:hyperlink r:id="rId33" w:history="1">
        <w:r w:rsidRPr="00B24A51">
          <w:rPr>
            <w:rStyle w:val="Hyperlink"/>
          </w:rPr>
          <w:t>https://siconfi.tesouro.gov.br/siconfi/pages/public/consulta_finbra/finbra_list.jsf</w:t>
        </w:r>
      </w:hyperlink>
    </w:p>
    <w:p w14:paraId="3A239EA0" w14:textId="399B8DCB" w:rsidR="00A116D1" w:rsidRDefault="00A116D1" w:rsidP="00A116D1">
      <w:pPr>
        <w:pStyle w:val="NormalWeb"/>
        <w:jc w:val="both"/>
      </w:pPr>
      <w:r>
        <w:t xml:space="preserve">Eurostat, gov_10a_main: </w:t>
      </w:r>
      <w:hyperlink r:id="rId34" w:history="1">
        <w:r w:rsidRPr="00B24A51">
          <w:rPr>
            <w:rStyle w:val="Hyperlink"/>
          </w:rPr>
          <w:t>https://ec.europa.eu/eurostat/databrowser/view/gov_10a_main/default/table</w:t>
        </w:r>
      </w:hyperlink>
    </w:p>
    <w:p w14:paraId="03892E47" w14:textId="5575282B" w:rsidR="00A116D1" w:rsidRDefault="00A116D1" w:rsidP="00A116D1">
      <w:pPr>
        <w:pStyle w:val="NormalWeb"/>
        <w:jc w:val="both"/>
      </w:pPr>
      <w:r>
        <w:t xml:space="preserve">LRF, Lei Complementar 101/2000: </w:t>
      </w:r>
      <w:hyperlink r:id="rId35" w:history="1">
        <w:r w:rsidRPr="00B24A51">
          <w:rPr>
            <w:rStyle w:val="Hyperlink"/>
          </w:rPr>
          <w:t>https://www.planalto.gov.br/ccivil_03/leis/lcp/lcp101.htm</w:t>
        </w:r>
      </w:hyperlink>
    </w:p>
    <w:p w14:paraId="40C11E94" w14:textId="66D3163A" w:rsidR="00A116D1" w:rsidRDefault="00A116D1" w:rsidP="00A116D1">
      <w:pPr>
        <w:pStyle w:val="NormalWeb"/>
        <w:jc w:val="both"/>
      </w:pPr>
      <w:r>
        <w:t xml:space="preserve">IBGE, PIB Municipal (Tabela 5938): </w:t>
      </w:r>
      <w:hyperlink r:id="rId36" w:history="1">
        <w:r w:rsidRPr="00B24A51">
          <w:rPr>
            <w:rStyle w:val="Hyperlink"/>
          </w:rPr>
          <w:t>https://sidra.ibge.gov.br/tabela/5938</w:t>
        </w:r>
      </w:hyperlink>
    </w:p>
    <w:p w14:paraId="4EF8C8B9" w14:textId="0BFA804F" w:rsidR="00A116D1" w:rsidRDefault="00A116D1" w:rsidP="00A116D1">
      <w:pPr>
        <w:pStyle w:val="NormalWeb"/>
        <w:jc w:val="both"/>
      </w:pPr>
      <w:r>
        <w:t xml:space="preserve">INEP, Resultados IDEB: </w:t>
      </w:r>
      <w:hyperlink r:id="rId37" w:history="1">
        <w:r w:rsidRPr="00B24A51">
          <w:rPr>
            <w:rStyle w:val="Hyperlink"/>
          </w:rPr>
          <w:t>https://www.gov.br/inep/pt-br/areas-de-atuacao/pesquisas-estatisticas-e-indicadores/ideb/resultados</w:t>
        </w:r>
      </w:hyperlink>
    </w:p>
    <w:p w14:paraId="0835B328" w14:textId="77777777" w:rsidR="007A74E5" w:rsidRPr="00623F55" w:rsidRDefault="007A74E5" w:rsidP="00C03EF2">
      <w:pPr>
        <w:pStyle w:val="NormalWeb"/>
        <w:jc w:val="both"/>
      </w:pPr>
    </w:p>
    <w:p w14:paraId="3A872F6D" w14:textId="77777777" w:rsidR="007A74E5" w:rsidRPr="00623F55" w:rsidRDefault="007A74E5" w:rsidP="00C03EF2">
      <w:pPr>
        <w:pStyle w:val="NormalWeb"/>
        <w:jc w:val="both"/>
      </w:pPr>
    </w:p>
    <w:p w14:paraId="37D8E802" w14:textId="17495DB6" w:rsidR="007A74E5" w:rsidRPr="00623F55" w:rsidRDefault="007A74E5" w:rsidP="00C03EF2">
      <w:pPr>
        <w:pStyle w:val="NormalWeb"/>
        <w:jc w:val="both"/>
      </w:pPr>
    </w:p>
    <w:p w14:paraId="749CBF71" w14:textId="3C695853" w:rsidR="007A74E5" w:rsidRPr="00623F55" w:rsidRDefault="007A74E5" w:rsidP="00C03EF2">
      <w:pPr>
        <w:pStyle w:val="NormalWeb"/>
        <w:jc w:val="both"/>
      </w:pPr>
    </w:p>
    <w:p w14:paraId="306E2ED0" w14:textId="77777777" w:rsidR="007A74E5" w:rsidRPr="00623F55" w:rsidRDefault="007A74E5" w:rsidP="00C03EF2">
      <w:pPr>
        <w:pStyle w:val="NormalWeb"/>
        <w:jc w:val="both"/>
      </w:pPr>
    </w:p>
    <w:sectPr w:rsidR="007A74E5" w:rsidRPr="00623F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3C7C"/>
    <w:multiLevelType w:val="multilevel"/>
    <w:tmpl w:val="238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6A"/>
    <w:rsid w:val="00030BCA"/>
    <w:rsid w:val="0013061C"/>
    <w:rsid w:val="00141FDE"/>
    <w:rsid w:val="001B0A56"/>
    <w:rsid w:val="002C136A"/>
    <w:rsid w:val="003106C9"/>
    <w:rsid w:val="0042113B"/>
    <w:rsid w:val="00567755"/>
    <w:rsid w:val="005D1616"/>
    <w:rsid w:val="00623F55"/>
    <w:rsid w:val="006F114E"/>
    <w:rsid w:val="007A2FA2"/>
    <w:rsid w:val="007A74E5"/>
    <w:rsid w:val="00827E39"/>
    <w:rsid w:val="008B7B17"/>
    <w:rsid w:val="008C7C83"/>
    <w:rsid w:val="00A116D1"/>
    <w:rsid w:val="00AE2F6B"/>
    <w:rsid w:val="00B26FDB"/>
    <w:rsid w:val="00B351B3"/>
    <w:rsid w:val="00B81920"/>
    <w:rsid w:val="00C03EF2"/>
    <w:rsid w:val="00D06630"/>
    <w:rsid w:val="00D82B80"/>
    <w:rsid w:val="00E00201"/>
    <w:rsid w:val="00E302AE"/>
    <w:rsid w:val="00F03E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C8D2"/>
  <w15:chartTrackingRefBased/>
  <w15:docId w15:val="{5EE6E6D6-1F65-491E-B54D-4C1C397E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har"/>
    <w:uiPriority w:val="9"/>
    <w:qFormat/>
    <w:rsid w:val="007A74E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2C13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6F114E"/>
    <w:rPr>
      <w:color w:val="0563C1" w:themeColor="hyperlink"/>
      <w:u w:val="single"/>
    </w:rPr>
  </w:style>
  <w:style w:type="character" w:styleId="MenoPendente">
    <w:name w:val="Unresolved Mention"/>
    <w:basedOn w:val="Fontepargpadro"/>
    <w:uiPriority w:val="99"/>
    <w:semiHidden/>
    <w:unhideWhenUsed/>
    <w:rsid w:val="006F114E"/>
    <w:rPr>
      <w:color w:val="605E5C"/>
      <w:shd w:val="clear" w:color="auto" w:fill="E1DFDD"/>
    </w:rPr>
  </w:style>
  <w:style w:type="character" w:customStyle="1" w:styleId="Ttulo4Char">
    <w:name w:val="Título 4 Char"/>
    <w:basedOn w:val="Fontepargpadro"/>
    <w:link w:val="Ttulo4"/>
    <w:uiPriority w:val="9"/>
    <w:rsid w:val="007A74E5"/>
    <w:rPr>
      <w:rFonts w:ascii="Times New Roman" w:eastAsia="Times New Roman" w:hAnsi="Times New Roman" w:cs="Times New Roman"/>
      <w:b/>
      <w:bCs/>
      <w:sz w:val="24"/>
      <w:szCs w:val="24"/>
      <w:lang w:eastAsia="pt-BR"/>
    </w:rPr>
  </w:style>
  <w:style w:type="paragraph" w:customStyle="1" w:styleId="font-claude-response-body">
    <w:name w:val="font-claude-response-body"/>
    <w:basedOn w:val="Normal"/>
    <w:rsid w:val="007A74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A74E5"/>
    <w:rPr>
      <w:b/>
      <w:bCs/>
    </w:rPr>
  </w:style>
  <w:style w:type="paragraph" w:customStyle="1" w:styleId="font-ui">
    <w:name w:val="font-ui"/>
    <w:basedOn w:val="Normal"/>
    <w:rsid w:val="007A74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font-base">
    <w:name w:val="font-base"/>
    <w:basedOn w:val="Fontepargpadro"/>
    <w:rsid w:val="007A74E5"/>
  </w:style>
  <w:style w:type="character" w:customStyle="1" w:styleId="text-text-500">
    <w:name w:val="text-text-500"/>
    <w:basedOn w:val="Fontepargpadro"/>
    <w:rsid w:val="007A74E5"/>
  </w:style>
  <w:style w:type="character" w:customStyle="1" w:styleId="truncate">
    <w:name w:val="truncate"/>
    <w:basedOn w:val="Fontepargpadro"/>
    <w:rsid w:val="007A74E5"/>
  </w:style>
  <w:style w:type="character" w:customStyle="1" w:styleId="inline-flex">
    <w:name w:val="inline-flex"/>
    <w:basedOn w:val="Fontepargpadro"/>
    <w:rsid w:val="007A74E5"/>
  </w:style>
  <w:style w:type="character" w:customStyle="1" w:styleId="sr-only">
    <w:name w:val="sr-only"/>
    <w:basedOn w:val="Fontepargpadro"/>
    <w:rsid w:val="007A7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768">
      <w:bodyDiv w:val="1"/>
      <w:marLeft w:val="0"/>
      <w:marRight w:val="0"/>
      <w:marTop w:val="0"/>
      <w:marBottom w:val="0"/>
      <w:divBdr>
        <w:top w:val="none" w:sz="0" w:space="0" w:color="auto"/>
        <w:left w:val="none" w:sz="0" w:space="0" w:color="auto"/>
        <w:bottom w:val="none" w:sz="0" w:space="0" w:color="auto"/>
        <w:right w:val="none" w:sz="0" w:space="0" w:color="auto"/>
      </w:divBdr>
    </w:div>
    <w:div w:id="61217010">
      <w:bodyDiv w:val="1"/>
      <w:marLeft w:val="0"/>
      <w:marRight w:val="0"/>
      <w:marTop w:val="0"/>
      <w:marBottom w:val="0"/>
      <w:divBdr>
        <w:top w:val="none" w:sz="0" w:space="0" w:color="auto"/>
        <w:left w:val="none" w:sz="0" w:space="0" w:color="auto"/>
        <w:bottom w:val="none" w:sz="0" w:space="0" w:color="auto"/>
        <w:right w:val="none" w:sz="0" w:space="0" w:color="auto"/>
      </w:divBdr>
    </w:div>
    <w:div w:id="310837512">
      <w:bodyDiv w:val="1"/>
      <w:marLeft w:val="0"/>
      <w:marRight w:val="0"/>
      <w:marTop w:val="0"/>
      <w:marBottom w:val="0"/>
      <w:divBdr>
        <w:top w:val="none" w:sz="0" w:space="0" w:color="auto"/>
        <w:left w:val="none" w:sz="0" w:space="0" w:color="auto"/>
        <w:bottom w:val="none" w:sz="0" w:space="0" w:color="auto"/>
        <w:right w:val="none" w:sz="0" w:space="0" w:color="auto"/>
      </w:divBdr>
    </w:div>
    <w:div w:id="416093719">
      <w:bodyDiv w:val="1"/>
      <w:marLeft w:val="0"/>
      <w:marRight w:val="0"/>
      <w:marTop w:val="0"/>
      <w:marBottom w:val="0"/>
      <w:divBdr>
        <w:top w:val="none" w:sz="0" w:space="0" w:color="auto"/>
        <w:left w:val="none" w:sz="0" w:space="0" w:color="auto"/>
        <w:bottom w:val="none" w:sz="0" w:space="0" w:color="auto"/>
        <w:right w:val="none" w:sz="0" w:space="0" w:color="auto"/>
      </w:divBdr>
    </w:div>
    <w:div w:id="592396487">
      <w:bodyDiv w:val="1"/>
      <w:marLeft w:val="0"/>
      <w:marRight w:val="0"/>
      <w:marTop w:val="0"/>
      <w:marBottom w:val="0"/>
      <w:divBdr>
        <w:top w:val="none" w:sz="0" w:space="0" w:color="auto"/>
        <w:left w:val="none" w:sz="0" w:space="0" w:color="auto"/>
        <w:bottom w:val="none" w:sz="0" w:space="0" w:color="auto"/>
        <w:right w:val="none" w:sz="0" w:space="0" w:color="auto"/>
      </w:divBdr>
      <w:divsChild>
        <w:div w:id="328751965">
          <w:marLeft w:val="0"/>
          <w:marRight w:val="0"/>
          <w:marTop w:val="0"/>
          <w:marBottom w:val="0"/>
          <w:divBdr>
            <w:top w:val="none" w:sz="0" w:space="0" w:color="auto"/>
            <w:left w:val="none" w:sz="0" w:space="0" w:color="auto"/>
            <w:bottom w:val="none" w:sz="0" w:space="0" w:color="auto"/>
            <w:right w:val="none" w:sz="0" w:space="0" w:color="auto"/>
          </w:divBdr>
          <w:divsChild>
            <w:div w:id="1606227753">
              <w:marLeft w:val="0"/>
              <w:marRight w:val="0"/>
              <w:marTop w:val="0"/>
              <w:marBottom w:val="0"/>
              <w:divBdr>
                <w:top w:val="none" w:sz="0" w:space="0" w:color="auto"/>
                <w:left w:val="none" w:sz="0" w:space="0" w:color="auto"/>
                <w:bottom w:val="none" w:sz="0" w:space="0" w:color="auto"/>
                <w:right w:val="none" w:sz="0" w:space="0" w:color="auto"/>
              </w:divBdr>
              <w:divsChild>
                <w:div w:id="1910144238">
                  <w:marLeft w:val="0"/>
                  <w:marRight w:val="0"/>
                  <w:marTop w:val="0"/>
                  <w:marBottom w:val="0"/>
                  <w:divBdr>
                    <w:top w:val="none" w:sz="0" w:space="0" w:color="auto"/>
                    <w:left w:val="none" w:sz="0" w:space="0" w:color="auto"/>
                    <w:bottom w:val="none" w:sz="0" w:space="0" w:color="auto"/>
                    <w:right w:val="none" w:sz="0" w:space="0" w:color="auto"/>
                  </w:divBdr>
                  <w:divsChild>
                    <w:div w:id="2096972841">
                      <w:marLeft w:val="0"/>
                      <w:marRight w:val="0"/>
                      <w:marTop w:val="0"/>
                      <w:marBottom w:val="0"/>
                      <w:divBdr>
                        <w:top w:val="none" w:sz="0" w:space="0" w:color="auto"/>
                        <w:left w:val="none" w:sz="0" w:space="0" w:color="auto"/>
                        <w:bottom w:val="none" w:sz="0" w:space="0" w:color="auto"/>
                        <w:right w:val="none" w:sz="0" w:space="0" w:color="auto"/>
                      </w:divBdr>
                      <w:divsChild>
                        <w:div w:id="491876563">
                          <w:marLeft w:val="0"/>
                          <w:marRight w:val="0"/>
                          <w:marTop w:val="0"/>
                          <w:marBottom w:val="0"/>
                          <w:divBdr>
                            <w:top w:val="none" w:sz="0" w:space="0" w:color="auto"/>
                            <w:left w:val="none" w:sz="0" w:space="0" w:color="auto"/>
                            <w:bottom w:val="none" w:sz="0" w:space="0" w:color="auto"/>
                            <w:right w:val="none" w:sz="0" w:space="0" w:color="auto"/>
                          </w:divBdr>
                          <w:divsChild>
                            <w:div w:id="53269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678476">
      <w:bodyDiv w:val="1"/>
      <w:marLeft w:val="0"/>
      <w:marRight w:val="0"/>
      <w:marTop w:val="0"/>
      <w:marBottom w:val="0"/>
      <w:divBdr>
        <w:top w:val="none" w:sz="0" w:space="0" w:color="auto"/>
        <w:left w:val="none" w:sz="0" w:space="0" w:color="auto"/>
        <w:bottom w:val="none" w:sz="0" w:space="0" w:color="auto"/>
        <w:right w:val="none" w:sz="0" w:space="0" w:color="auto"/>
      </w:divBdr>
    </w:div>
    <w:div w:id="771822082">
      <w:bodyDiv w:val="1"/>
      <w:marLeft w:val="0"/>
      <w:marRight w:val="0"/>
      <w:marTop w:val="0"/>
      <w:marBottom w:val="0"/>
      <w:divBdr>
        <w:top w:val="none" w:sz="0" w:space="0" w:color="auto"/>
        <w:left w:val="none" w:sz="0" w:space="0" w:color="auto"/>
        <w:bottom w:val="none" w:sz="0" w:space="0" w:color="auto"/>
        <w:right w:val="none" w:sz="0" w:space="0" w:color="auto"/>
      </w:divBdr>
    </w:div>
    <w:div w:id="785584668">
      <w:bodyDiv w:val="1"/>
      <w:marLeft w:val="0"/>
      <w:marRight w:val="0"/>
      <w:marTop w:val="0"/>
      <w:marBottom w:val="0"/>
      <w:divBdr>
        <w:top w:val="none" w:sz="0" w:space="0" w:color="auto"/>
        <w:left w:val="none" w:sz="0" w:space="0" w:color="auto"/>
        <w:bottom w:val="none" w:sz="0" w:space="0" w:color="auto"/>
        <w:right w:val="none" w:sz="0" w:space="0" w:color="auto"/>
      </w:divBdr>
    </w:div>
    <w:div w:id="844176258">
      <w:bodyDiv w:val="1"/>
      <w:marLeft w:val="0"/>
      <w:marRight w:val="0"/>
      <w:marTop w:val="0"/>
      <w:marBottom w:val="0"/>
      <w:divBdr>
        <w:top w:val="none" w:sz="0" w:space="0" w:color="auto"/>
        <w:left w:val="none" w:sz="0" w:space="0" w:color="auto"/>
        <w:bottom w:val="none" w:sz="0" w:space="0" w:color="auto"/>
        <w:right w:val="none" w:sz="0" w:space="0" w:color="auto"/>
      </w:divBdr>
    </w:div>
    <w:div w:id="845708458">
      <w:bodyDiv w:val="1"/>
      <w:marLeft w:val="0"/>
      <w:marRight w:val="0"/>
      <w:marTop w:val="0"/>
      <w:marBottom w:val="0"/>
      <w:divBdr>
        <w:top w:val="none" w:sz="0" w:space="0" w:color="auto"/>
        <w:left w:val="none" w:sz="0" w:space="0" w:color="auto"/>
        <w:bottom w:val="none" w:sz="0" w:space="0" w:color="auto"/>
        <w:right w:val="none" w:sz="0" w:space="0" w:color="auto"/>
      </w:divBdr>
    </w:div>
    <w:div w:id="905840582">
      <w:bodyDiv w:val="1"/>
      <w:marLeft w:val="0"/>
      <w:marRight w:val="0"/>
      <w:marTop w:val="0"/>
      <w:marBottom w:val="0"/>
      <w:divBdr>
        <w:top w:val="none" w:sz="0" w:space="0" w:color="auto"/>
        <w:left w:val="none" w:sz="0" w:space="0" w:color="auto"/>
        <w:bottom w:val="none" w:sz="0" w:space="0" w:color="auto"/>
        <w:right w:val="none" w:sz="0" w:space="0" w:color="auto"/>
      </w:divBdr>
    </w:div>
    <w:div w:id="978535256">
      <w:bodyDiv w:val="1"/>
      <w:marLeft w:val="0"/>
      <w:marRight w:val="0"/>
      <w:marTop w:val="0"/>
      <w:marBottom w:val="0"/>
      <w:divBdr>
        <w:top w:val="none" w:sz="0" w:space="0" w:color="auto"/>
        <w:left w:val="none" w:sz="0" w:space="0" w:color="auto"/>
        <w:bottom w:val="none" w:sz="0" w:space="0" w:color="auto"/>
        <w:right w:val="none" w:sz="0" w:space="0" w:color="auto"/>
      </w:divBdr>
    </w:div>
    <w:div w:id="1092583298">
      <w:bodyDiv w:val="1"/>
      <w:marLeft w:val="0"/>
      <w:marRight w:val="0"/>
      <w:marTop w:val="0"/>
      <w:marBottom w:val="0"/>
      <w:divBdr>
        <w:top w:val="none" w:sz="0" w:space="0" w:color="auto"/>
        <w:left w:val="none" w:sz="0" w:space="0" w:color="auto"/>
        <w:bottom w:val="none" w:sz="0" w:space="0" w:color="auto"/>
        <w:right w:val="none" w:sz="0" w:space="0" w:color="auto"/>
      </w:divBdr>
    </w:div>
    <w:div w:id="1157109028">
      <w:bodyDiv w:val="1"/>
      <w:marLeft w:val="0"/>
      <w:marRight w:val="0"/>
      <w:marTop w:val="0"/>
      <w:marBottom w:val="0"/>
      <w:divBdr>
        <w:top w:val="none" w:sz="0" w:space="0" w:color="auto"/>
        <w:left w:val="none" w:sz="0" w:space="0" w:color="auto"/>
        <w:bottom w:val="none" w:sz="0" w:space="0" w:color="auto"/>
        <w:right w:val="none" w:sz="0" w:space="0" w:color="auto"/>
      </w:divBdr>
    </w:div>
    <w:div w:id="1208566789">
      <w:bodyDiv w:val="1"/>
      <w:marLeft w:val="0"/>
      <w:marRight w:val="0"/>
      <w:marTop w:val="0"/>
      <w:marBottom w:val="0"/>
      <w:divBdr>
        <w:top w:val="none" w:sz="0" w:space="0" w:color="auto"/>
        <w:left w:val="none" w:sz="0" w:space="0" w:color="auto"/>
        <w:bottom w:val="none" w:sz="0" w:space="0" w:color="auto"/>
        <w:right w:val="none" w:sz="0" w:space="0" w:color="auto"/>
      </w:divBdr>
    </w:div>
    <w:div w:id="1229875182">
      <w:bodyDiv w:val="1"/>
      <w:marLeft w:val="0"/>
      <w:marRight w:val="0"/>
      <w:marTop w:val="0"/>
      <w:marBottom w:val="0"/>
      <w:divBdr>
        <w:top w:val="none" w:sz="0" w:space="0" w:color="auto"/>
        <w:left w:val="none" w:sz="0" w:space="0" w:color="auto"/>
        <w:bottom w:val="none" w:sz="0" w:space="0" w:color="auto"/>
        <w:right w:val="none" w:sz="0" w:space="0" w:color="auto"/>
      </w:divBdr>
    </w:div>
    <w:div w:id="1273900681">
      <w:bodyDiv w:val="1"/>
      <w:marLeft w:val="0"/>
      <w:marRight w:val="0"/>
      <w:marTop w:val="0"/>
      <w:marBottom w:val="0"/>
      <w:divBdr>
        <w:top w:val="none" w:sz="0" w:space="0" w:color="auto"/>
        <w:left w:val="none" w:sz="0" w:space="0" w:color="auto"/>
        <w:bottom w:val="none" w:sz="0" w:space="0" w:color="auto"/>
        <w:right w:val="none" w:sz="0" w:space="0" w:color="auto"/>
      </w:divBdr>
      <w:divsChild>
        <w:div w:id="873032418">
          <w:marLeft w:val="0"/>
          <w:marRight w:val="0"/>
          <w:marTop w:val="0"/>
          <w:marBottom w:val="0"/>
          <w:divBdr>
            <w:top w:val="none" w:sz="0" w:space="0" w:color="auto"/>
            <w:left w:val="none" w:sz="0" w:space="0" w:color="auto"/>
            <w:bottom w:val="none" w:sz="0" w:space="0" w:color="auto"/>
            <w:right w:val="none" w:sz="0" w:space="0" w:color="auto"/>
          </w:divBdr>
        </w:div>
        <w:div w:id="1448740416">
          <w:marLeft w:val="0"/>
          <w:marRight w:val="0"/>
          <w:marTop w:val="0"/>
          <w:marBottom w:val="0"/>
          <w:divBdr>
            <w:top w:val="none" w:sz="0" w:space="0" w:color="auto"/>
            <w:left w:val="none" w:sz="0" w:space="0" w:color="auto"/>
            <w:bottom w:val="none" w:sz="0" w:space="0" w:color="auto"/>
            <w:right w:val="none" w:sz="0" w:space="0" w:color="auto"/>
          </w:divBdr>
        </w:div>
      </w:divsChild>
    </w:div>
    <w:div w:id="1387293640">
      <w:bodyDiv w:val="1"/>
      <w:marLeft w:val="0"/>
      <w:marRight w:val="0"/>
      <w:marTop w:val="0"/>
      <w:marBottom w:val="0"/>
      <w:divBdr>
        <w:top w:val="none" w:sz="0" w:space="0" w:color="auto"/>
        <w:left w:val="none" w:sz="0" w:space="0" w:color="auto"/>
        <w:bottom w:val="none" w:sz="0" w:space="0" w:color="auto"/>
        <w:right w:val="none" w:sz="0" w:space="0" w:color="auto"/>
      </w:divBdr>
    </w:div>
    <w:div w:id="1401711463">
      <w:bodyDiv w:val="1"/>
      <w:marLeft w:val="0"/>
      <w:marRight w:val="0"/>
      <w:marTop w:val="0"/>
      <w:marBottom w:val="0"/>
      <w:divBdr>
        <w:top w:val="none" w:sz="0" w:space="0" w:color="auto"/>
        <w:left w:val="none" w:sz="0" w:space="0" w:color="auto"/>
        <w:bottom w:val="none" w:sz="0" w:space="0" w:color="auto"/>
        <w:right w:val="none" w:sz="0" w:space="0" w:color="auto"/>
      </w:divBdr>
    </w:div>
    <w:div w:id="1426072596">
      <w:bodyDiv w:val="1"/>
      <w:marLeft w:val="0"/>
      <w:marRight w:val="0"/>
      <w:marTop w:val="0"/>
      <w:marBottom w:val="0"/>
      <w:divBdr>
        <w:top w:val="none" w:sz="0" w:space="0" w:color="auto"/>
        <w:left w:val="none" w:sz="0" w:space="0" w:color="auto"/>
        <w:bottom w:val="none" w:sz="0" w:space="0" w:color="auto"/>
        <w:right w:val="none" w:sz="0" w:space="0" w:color="auto"/>
      </w:divBdr>
    </w:div>
    <w:div w:id="1468815114">
      <w:bodyDiv w:val="1"/>
      <w:marLeft w:val="0"/>
      <w:marRight w:val="0"/>
      <w:marTop w:val="0"/>
      <w:marBottom w:val="0"/>
      <w:divBdr>
        <w:top w:val="none" w:sz="0" w:space="0" w:color="auto"/>
        <w:left w:val="none" w:sz="0" w:space="0" w:color="auto"/>
        <w:bottom w:val="none" w:sz="0" w:space="0" w:color="auto"/>
        <w:right w:val="none" w:sz="0" w:space="0" w:color="auto"/>
      </w:divBdr>
      <w:divsChild>
        <w:div w:id="634408215">
          <w:marLeft w:val="0"/>
          <w:marRight w:val="0"/>
          <w:marTop w:val="0"/>
          <w:marBottom w:val="0"/>
          <w:divBdr>
            <w:top w:val="none" w:sz="0" w:space="0" w:color="auto"/>
            <w:left w:val="none" w:sz="0" w:space="0" w:color="auto"/>
            <w:bottom w:val="none" w:sz="0" w:space="0" w:color="auto"/>
            <w:right w:val="none" w:sz="0" w:space="0" w:color="auto"/>
          </w:divBdr>
          <w:divsChild>
            <w:div w:id="415514876">
              <w:marLeft w:val="0"/>
              <w:marRight w:val="0"/>
              <w:marTop w:val="0"/>
              <w:marBottom w:val="0"/>
              <w:divBdr>
                <w:top w:val="none" w:sz="0" w:space="0" w:color="auto"/>
                <w:left w:val="none" w:sz="0" w:space="0" w:color="auto"/>
                <w:bottom w:val="none" w:sz="0" w:space="0" w:color="auto"/>
                <w:right w:val="none" w:sz="0" w:space="0" w:color="auto"/>
              </w:divBdr>
              <w:divsChild>
                <w:div w:id="1023439817">
                  <w:marLeft w:val="0"/>
                  <w:marRight w:val="0"/>
                  <w:marTop w:val="0"/>
                  <w:marBottom w:val="0"/>
                  <w:divBdr>
                    <w:top w:val="none" w:sz="0" w:space="0" w:color="auto"/>
                    <w:left w:val="none" w:sz="0" w:space="0" w:color="auto"/>
                    <w:bottom w:val="none" w:sz="0" w:space="0" w:color="auto"/>
                    <w:right w:val="none" w:sz="0" w:space="0" w:color="auto"/>
                  </w:divBdr>
                  <w:divsChild>
                    <w:div w:id="967197752">
                      <w:marLeft w:val="0"/>
                      <w:marRight w:val="0"/>
                      <w:marTop w:val="0"/>
                      <w:marBottom w:val="0"/>
                      <w:divBdr>
                        <w:top w:val="none" w:sz="0" w:space="0" w:color="auto"/>
                        <w:left w:val="none" w:sz="0" w:space="0" w:color="auto"/>
                        <w:bottom w:val="none" w:sz="0" w:space="0" w:color="auto"/>
                        <w:right w:val="none" w:sz="0" w:space="0" w:color="auto"/>
                      </w:divBdr>
                      <w:divsChild>
                        <w:div w:id="566915675">
                          <w:marLeft w:val="0"/>
                          <w:marRight w:val="0"/>
                          <w:marTop w:val="0"/>
                          <w:marBottom w:val="0"/>
                          <w:divBdr>
                            <w:top w:val="none" w:sz="0" w:space="0" w:color="auto"/>
                            <w:left w:val="none" w:sz="0" w:space="0" w:color="auto"/>
                            <w:bottom w:val="none" w:sz="0" w:space="0" w:color="auto"/>
                            <w:right w:val="none" w:sz="0" w:space="0" w:color="auto"/>
                          </w:divBdr>
                          <w:divsChild>
                            <w:div w:id="17922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5589">
          <w:marLeft w:val="0"/>
          <w:marRight w:val="0"/>
          <w:marTop w:val="0"/>
          <w:marBottom w:val="0"/>
          <w:divBdr>
            <w:top w:val="none" w:sz="0" w:space="0" w:color="auto"/>
            <w:left w:val="none" w:sz="0" w:space="0" w:color="auto"/>
            <w:bottom w:val="none" w:sz="0" w:space="0" w:color="auto"/>
            <w:right w:val="none" w:sz="0" w:space="0" w:color="auto"/>
          </w:divBdr>
          <w:divsChild>
            <w:div w:id="34236964">
              <w:marLeft w:val="0"/>
              <w:marRight w:val="0"/>
              <w:marTop w:val="0"/>
              <w:marBottom w:val="0"/>
              <w:divBdr>
                <w:top w:val="none" w:sz="0" w:space="0" w:color="auto"/>
                <w:left w:val="none" w:sz="0" w:space="0" w:color="auto"/>
                <w:bottom w:val="none" w:sz="0" w:space="0" w:color="auto"/>
                <w:right w:val="none" w:sz="0" w:space="0" w:color="auto"/>
              </w:divBdr>
              <w:divsChild>
                <w:div w:id="722366919">
                  <w:marLeft w:val="0"/>
                  <w:marRight w:val="0"/>
                  <w:marTop w:val="0"/>
                  <w:marBottom w:val="0"/>
                  <w:divBdr>
                    <w:top w:val="none" w:sz="0" w:space="0" w:color="auto"/>
                    <w:left w:val="none" w:sz="0" w:space="0" w:color="auto"/>
                    <w:bottom w:val="none" w:sz="0" w:space="0" w:color="auto"/>
                    <w:right w:val="none" w:sz="0" w:space="0" w:color="auto"/>
                  </w:divBdr>
                  <w:divsChild>
                    <w:div w:id="856968155">
                      <w:marLeft w:val="0"/>
                      <w:marRight w:val="0"/>
                      <w:marTop w:val="0"/>
                      <w:marBottom w:val="0"/>
                      <w:divBdr>
                        <w:top w:val="none" w:sz="0" w:space="0" w:color="auto"/>
                        <w:left w:val="none" w:sz="0" w:space="0" w:color="auto"/>
                        <w:bottom w:val="none" w:sz="0" w:space="0" w:color="auto"/>
                        <w:right w:val="none" w:sz="0" w:space="0" w:color="auto"/>
                      </w:divBdr>
                      <w:divsChild>
                        <w:div w:id="1960408624">
                          <w:marLeft w:val="0"/>
                          <w:marRight w:val="0"/>
                          <w:marTop w:val="0"/>
                          <w:marBottom w:val="0"/>
                          <w:divBdr>
                            <w:top w:val="none" w:sz="0" w:space="0" w:color="auto"/>
                            <w:left w:val="none" w:sz="0" w:space="0" w:color="auto"/>
                            <w:bottom w:val="none" w:sz="0" w:space="0" w:color="auto"/>
                            <w:right w:val="none" w:sz="0" w:space="0" w:color="auto"/>
                          </w:divBdr>
                          <w:divsChild>
                            <w:div w:id="338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07631">
          <w:marLeft w:val="0"/>
          <w:marRight w:val="0"/>
          <w:marTop w:val="0"/>
          <w:marBottom w:val="0"/>
          <w:divBdr>
            <w:top w:val="none" w:sz="0" w:space="0" w:color="auto"/>
            <w:left w:val="none" w:sz="0" w:space="0" w:color="auto"/>
            <w:bottom w:val="none" w:sz="0" w:space="0" w:color="auto"/>
            <w:right w:val="none" w:sz="0" w:space="0" w:color="auto"/>
          </w:divBdr>
          <w:divsChild>
            <w:div w:id="1041633246">
              <w:marLeft w:val="0"/>
              <w:marRight w:val="0"/>
              <w:marTop w:val="0"/>
              <w:marBottom w:val="0"/>
              <w:divBdr>
                <w:top w:val="none" w:sz="0" w:space="0" w:color="auto"/>
                <w:left w:val="none" w:sz="0" w:space="0" w:color="auto"/>
                <w:bottom w:val="none" w:sz="0" w:space="0" w:color="auto"/>
                <w:right w:val="none" w:sz="0" w:space="0" w:color="auto"/>
              </w:divBdr>
              <w:divsChild>
                <w:div w:id="198592849">
                  <w:marLeft w:val="0"/>
                  <w:marRight w:val="0"/>
                  <w:marTop w:val="0"/>
                  <w:marBottom w:val="0"/>
                  <w:divBdr>
                    <w:top w:val="none" w:sz="0" w:space="0" w:color="auto"/>
                    <w:left w:val="none" w:sz="0" w:space="0" w:color="auto"/>
                    <w:bottom w:val="none" w:sz="0" w:space="0" w:color="auto"/>
                    <w:right w:val="none" w:sz="0" w:space="0" w:color="auto"/>
                  </w:divBdr>
                  <w:divsChild>
                    <w:div w:id="1588073536">
                      <w:marLeft w:val="0"/>
                      <w:marRight w:val="0"/>
                      <w:marTop w:val="0"/>
                      <w:marBottom w:val="0"/>
                      <w:divBdr>
                        <w:top w:val="none" w:sz="0" w:space="0" w:color="auto"/>
                        <w:left w:val="none" w:sz="0" w:space="0" w:color="auto"/>
                        <w:bottom w:val="none" w:sz="0" w:space="0" w:color="auto"/>
                        <w:right w:val="none" w:sz="0" w:space="0" w:color="auto"/>
                      </w:divBdr>
                      <w:divsChild>
                        <w:div w:id="494298188">
                          <w:marLeft w:val="0"/>
                          <w:marRight w:val="0"/>
                          <w:marTop w:val="0"/>
                          <w:marBottom w:val="0"/>
                          <w:divBdr>
                            <w:top w:val="none" w:sz="0" w:space="0" w:color="auto"/>
                            <w:left w:val="none" w:sz="0" w:space="0" w:color="auto"/>
                            <w:bottom w:val="none" w:sz="0" w:space="0" w:color="auto"/>
                            <w:right w:val="none" w:sz="0" w:space="0" w:color="auto"/>
                          </w:divBdr>
                          <w:divsChild>
                            <w:div w:id="21113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95730">
          <w:marLeft w:val="0"/>
          <w:marRight w:val="0"/>
          <w:marTop w:val="0"/>
          <w:marBottom w:val="0"/>
          <w:divBdr>
            <w:top w:val="none" w:sz="0" w:space="0" w:color="auto"/>
            <w:left w:val="none" w:sz="0" w:space="0" w:color="auto"/>
            <w:bottom w:val="none" w:sz="0" w:space="0" w:color="auto"/>
            <w:right w:val="none" w:sz="0" w:space="0" w:color="auto"/>
          </w:divBdr>
          <w:divsChild>
            <w:div w:id="1408989353">
              <w:marLeft w:val="0"/>
              <w:marRight w:val="0"/>
              <w:marTop w:val="0"/>
              <w:marBottom w:val="0"/>
              <w:divBdr>
                <w:top w:val="none" w:sz="0" w:space="0" w:color="auto"/>
                <w:left w:val="none" w:sz="0" w:space="0" w:color="auto"/>
                <w:bottom w:val="none" w:sz="0" w:space="0" w:color="auto"/>
                <w:right w:val="none" w:sz="0" w:space="0" w:color="auto"/>
              </w:divBdr>
            </w:div>
          </w:divsChild>
        </w:div>
        <w:div w:id="2095737822">
          <w:marLeft w:val="0"/>
          <w:marRight w:val="0"/>
          <w:marTop w:val="0"/>
          <w:marBottom w:val="0"/>
          <w:divBdr>
            <w:top w:val="none" w:sz="0" w:space="0" w:color="auto"/>
            <w:left w:val="none" w:sz="0" w:space="0" w:color="auto"/>
            <w:bottom w:val="none" w:sz="0" w:space="0" w:color="auto"/>
            <w:right w:val="none" w:sz="0" w:space="0" w:color="auto"/>
          </w:divBdr>
          <w:divsChild>
            <w:div w:id="790511420">
              <w:marLeft w:val="0"/>
              <w:marRight w:val="0"/>
              <w:marTop w:val="0"/>
              <w:marBottom w:val="0"/>
              <w:divBdr>
                <w:top w:val="none" w:sz="0" w:space="0" w:color="auto"/>
                <w:left w:val="none" w:sz="0" w:space="0" w:color="auto"/>
                <w:bottom w:val="none" w:sz="0" w:space="0" w:color="auto"/>
                <w:right w:val="none" w:sz="0" w:space="0" w:color="auto"/>
              </w:divBdr>
              <w:divsChild>
                <w:div w:id="1060179364">
                  <w:marLeft w:val="0"/>
                  <w:marRight w:val="0"/>
                  <w:marTop w:val="0"/>
                  <w:marBottom w:val="0"/>
                  <w:divBdr>
                    <w:top w:val="none" w:sz="0" w:space="0" w:color="auto"/>
                    <w:left w:val="none" w:sz="0" w:space="0" w:color="auto"/>
                    <w:bottom w:val="none" w:sz="0" w:space="0" w:color="auto"/>
                    <w:right w:val="none" w:sz="0" w:space="0" w:color="auto"/>
                  </w:divBdr>
                  <w:divsChild>
                    <w:div w:id="1076393667">
                      <w:marLeft w:val="0"/>
                      <w:marRight w:val="0"/>
                      <w:marTop w:val="0"/>
                      <w:marBottom w:val="0"/>
                      <w:divBdr>
                        <w:top w:val="none" w:sz="0" w:space="0" w:color="auto"/>
                        <w:left w:val="none" w:sz="0" w:space="0" w:color="auto"/>
                        <w:bottom w:val="none" w:sz="0" w:space="0" w:color="auto"/>
                        <w:right w:val="none" w:sz="0" w:space="0" w:color="auto"/>
                      </w:divBdr>
                      <w:divsChild>
                        <w:div w:id="535390177">
                          <w:marLeft w:val="0"/>
                          <w:marRight w:val="0"/>
                          <w:marTop w:val="0"/>
                          <w:marBottom w:val="0"/>
                          <w:divBdr>
                            <w:top w:val="none" w:sz="0" w:space="0" w:color="auto"/>
                            <w:left w:val="none" w:sz="0" w:space="0" w:color="auto"/>
                            <w:bottom w:val="none" w:sz="0" w:space="0" w:color="auto"/>
                            <w:right w:val="none" w:sz="0" w:space="0" w:color="auto"/>
                          </w:divBdr>
                          <w:divsChild>
                            <w:div w:id="20072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05712">
                  <w:marLeft w:val="0"/>
                  <w:marRight w:val="0"/>
                  <w:marTop w:val="0"/>
                  <w:marBottom w:val="0"/>
                  <w:divBdr>
                    <w:top w:val="none" w:sz="0" w:space="0" w:color="auto"/>
                    <w:left w:val="none" w:sz="0" w:space="0" w:color="auto"/>
                    <w:bottom w:val="none" w:sz="0" w:space="0" w:color="auto"/>
                    <w:right w:val="none" w:sz="0" w:space="0" w:color="auto"/>
                  </w:divBdr>
                  <w:divsChild>
                    <w:div w:id="1917402469">
                      <w:marLeft w:val="0"/>
                      <w:marRight w:val="0"/>
                      <w:marTop w:val="0"/>
                      <w:marBottom w:val="0"/>
                      <w:divBdr>
                        <w:top w:val="none" w:sz="0" w:space="0" w:color="auto"/>
                        <w:left w:val="none" w:sz="0" w:space="0" w:color="auto"/>
                        <w:bottom w:val="none" w:sz="0" w:space="0" w:color="auto"/>
                        <w:right w:val="none" w:sz="0" w:space="0" w:color="auto"/>
                      </w:divBdr>
                      <w:divsChild>
                        <w:div w:id="1724985417">
                          <w:marLeft w:val="0"/>
                          <w:marRight w:val="0"/>
                          <w:marTop w:val="0"/>
                          <w:marBottom w:val="0"/>
                          <w:divBdr>
                            <w:top w:val="none" w:sz="0" w:space="0" w:color="auto"/>
                            <w:left w:val="none" w:sz="0" w:space="0" w:color="auto"/>
                            <w:bottom w:val="none" w:sz="0" w:space="0" w:color="auto"/>
                            <w:right w:val="none" w:sz="0" w:space="0" w:color="auto"/>
                          </w:divBdr>
                          <w:divsChild>
                            <w:div w:id="16350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48365">
      <w:bodyDiv w:val="1"/>
      <w:marLeft w:val="0"/>
      <w:marRight w:val="0"/>
      <w:marTop w:val="0"/>
      <w:marBottom w:val="0"/>
      <w:divBdr>
        <w:top w:val="none" w:sz="0" w:space="0" w:color="auto"/>
        <w:left w:val="none" w:sz="0" w:space="0" w:color="auto"/>
        <w:bottom w:val="none" w:sz="0" w:space="0" w:color="auto"/>
        <w:right w:val="none" w:sz="0" w:space="0" w:color="auto"/>
      </w:divBdr>
      <w:divsChild>
        <w:div w:id="1200976058">
          <w:marLeft w:val="0"/>
          <w:marRight w:val="0"/>
          <w:marTop w:val="0"/>
          <w:marBottom w:val="0"/>
          <w:divBdr>
            <w:top w:val="none" w:sz="0" w:space="0" w:color="auto"/>
            <w:left w:val="none" w:sz="0" w:space="0" w:color="auto"/>
            <w:bottom w:val="none" w:sz="0" w:space="0" w:color="auto"/>
            <w:right w:val="none" w:sz="0" w:space="0" w:color="auto"/>
          </w:divBdr>
        </w:div>
        <w:div w:id="220211788">
          <w:marLeft w:val="0"/>
          <w:marRight w:val="0"/>
          <w:marTop w:val="0"/>
          <w:marBottom w:val="0"/>
          <w:divBdr>
            <w:top w:val="none" w:sz="0" w:space="0" w:color="auto"/>
            <w:left w:val="none" w:sz="0" w:space="0" w:color="auto"/>
            <w:bottom w:val="none" w:sz="0" w:space="0" w:color="auto"/>
            <w:right w:val="none" w:sz="0" w:space="0" w:color="auto"/>
          </w:divBdr>
        </w:div>
        <w:div w:id="1473522113">
          <w:marLeft w:val="0"/>
          <w:marRight w:val="0"/>
          <w:marTop w:val="0"/>
          <w:marBottom w:val="0"/>
          <w:divBdr>
            <w:top w:val="none" w:sz="0" w:space="0" w:color="auto"/>
            <w:left w:val="none" w:sz="0" w:space="0" w:color="auto"/>
            <w:bottom w:val="none" w:sz="0" w:space="0" w:color="auto"/>
            <w:right w:val="none" w:sz="0" w:space="0" w:color="auto"/>
          </w:divBdr>
        </w:div>
      </w:divsChild>
    </w:div>
    <w:div w:id="1510027558">
      <w:bodyDiv w:val="1"/>
      <w:marLeft w:val="0"/>
      <w:marRight w:val="0"/>
      <w:marTop w:val="0"/>
      <w:marBottom w:val="0"/>
      <w:divBdr>
        <w:top w:val="none" w:sz="0" w:space="0" w:color="auto"/>
        <w:left w:val="none" w:sz="0" w:space="0" w:color="auto"/>
        <w:bottom w:val="none" w:sz="0" w:space="0" w:color="auto"/>
        <w:right w:val="none" w:sz="0" w:space="0" w:color="auto"/>
      </w:divBdr>
      <w:divsChild>
        <w:div w:id="1300375809">
          <w:marLeft w:val="0"/>
          <w:marRight w:val="0"/>
          <w:marTop w:val="0"/>
          <w:marBottom w:val="0"/>
          <w:divBdr>
            <w:top w:val="none" w:sz="0" w:space="0" w:color="auto"/>
            <w:left w:val="none" w:sz="0" w:space="0" w:color="auto"/>
            <w:bottom w:val="none" w:sz="0" w:space="0" w:color="auto"/>
            <w:right w:val="none" w:sz="0" w:space="0" w:color="auto"/>
          </w:divBdr>
          <w:divsChild>
            <w:div w:id="764040335">
              <w:marLeft w:val="0"/>
              <w:marRight w:val="0"/>
              <w:marTop w:val="0"/>
              <w:marBottom w:val="0"/>
              <w:divBdr>
                <w:top w:val="none" w:sz="0" w:space="0" w:color="auto"/>
                <w:left w:val="none" w:sz="0" w:space="0" w:color="auto"/>
                <w:bottom w:val="none" w:sz="0" w:space="0" w:color="auto"/>
                <w:right w:val="none" w:sz="0" w:space="0" w:color="auto"/>
              </w:divBdr>
              <w:divsChild>
                <w:div w:id="1713115946">
                  <w:marLeft w:val="0"/>
                  <w:marRight w:val="0"/>
                  <w:marTop w:val="0"/>
                  <w:marBottom w:val="0"/>
                  <w:divBdr>
                    <w:top w:val="none" w:sz="0" w:space="0" w:color="auto"/>
                    <w:left w:val="none" w:sz="0" w:space="0" w:color="auto"/>
                    <w:bottom w:val="none" w:sz="0" w:space="0" w:color="auto"/>
                    <w:right w:val="none" w:sz="0" w:space="0" w:color="auto"/>
                  </w:divBdr>
                </w:div>
              </w:divsChild>
            </w:div>
            <w:div w:id="1266423553">
              <w:marLeft w:val="0"/>
              <w:marRight w:val="0"/>
              <w:marTop w:val="0"/>
              <w:marBottom w:val="0"/>
              <w:divBdr>
                <w:top w:val="none" w:sz="0" w:space="0" w:color="auto"/>
                <w:left w:val="none" w:sz="0" w:space="0" w:color="auto"/>
                <w:bottom w:val="none" w:sz="0" w:space="0" w:color="auto"/>
                <w:right w:val="none" w:sz="0" w:space="0" w:color="auto"/>
              </w:divBdr>
              <w:divsChild>
                <w:div w:id="51661117">
                  <w:marLeft w:val="0"/>
                  <w:marRight w:val="0"/>
                  <w:marTop w:val="0"/>
                  <w:marBottom w:val="0"/>
                  <w:divBdr>
                    <w:top w:val="none" w:sz="0" w:space="0" w:color="auto"/>
                    <w:left w:val="none" w:sz="0" w:space="0" w:color="auto"/>
                    <w:bottom w:val="none" w:sz="0" w:space="0" w:color="auto"/>
                    <w:right w:val="none" w:sz="0" w:space="0" w:color="auto"/>
                  </w:divBdr>
                </w:div>
              </w:divsChild>
            </w:div>
            <w:div w:id="865754822">
              <w:marLeft w:val="0"/>
              <w:marRight w:val="0"/>
              <w:marTop w:val="0"/>
              <w:marBottom w:val="0"/>
              <w:divBdr>
                <w:top w:val="none" w:sz="0" w:space="0" w:color="auto"/>
                <w:left w:val="none" w:sz="0" w:space="0" w:color="auto"/>
                <w:bottom w:val="none" w:sz="0" w:space="0" w:color="auto"/>
                <w:right w:val="none" w:sz="0" w:space="0" w:color="auto"/>
              </w:divBdr>
              <w:divsChild>
                <w:div w:id="141434967">
                  <w:marLeft w:val="0"/>
                  <w:marRight w:val="0"/>
                  <w:marTop w:val="0"/>
                  <w:marBottom w:val="0"/>
                  <w:divBdr>
                    <w:top w:val="none" w:sz="0" w:space="0" w:color="auto"/>
                    <w:left w:val="none" w:sz="0" w:space="0" w:color="auto"/>
                    <w:bottom w:val="none" w:sz="0" w:space="0" w:color="auto"/>
                    <w:right w:val="none" w:sz="0" w:space="0" w:color="auto"/>
                  </w:divBdr>
                </w:div>
              </w:divsChild>
            </w:div>
            <w:div w:id="1226456584">
              <w:marLeft w:val="0"/>
              <w:marRight w:val="0"/>
              <w:marTop w:val="0"/>
              <w:marBottom w:val="0"/>
              <w:divBdr>
                <w:top w:val="none" w:sz="0" w:space="0" w:color="auto"/>
                <w:left w:val="none" w:sz="0" w:space="0" w:color="auto"/>
                <w:bottom w:val="none" w:sz="0" w:space="0" w:color="auto"/>
                <w:right w:val="none" w:sz="0" w:space="0" w:color="auto"/>
              </w:divBdr>
              <w:divsChild>
                <w:div w:id="2133209904">
                  <w:marLeft w:val="0"/>
                  <w:marRight w:val="0"/>
                  <w:marTop w:val="0"/>
                  <w:marBottom w:val="0"/>
                  <w:divBdr>
                    <w:top w:val="none" w:sz="0" w:space="0" w:color="auto"/>
                    <w:left w:val="none" w:sz="0" w:space="0" w:color="auto"/>
                    <w:bottom w:val="none" w:sz="0" w:space="0" w:color="auto"/>
                    <w:right w:val="none" w:sz="0" w:space="0" w:color="auto"/>
                  </w:divBdr>
                </w:div>
              </w:divsChild>
            </w:div>
            <w:div w:id="487986648">
              <w:marLeft w:val="0"/>
              <w:marRight w:val="0"/>
              <w:marTop w:val="0"/>
              <w:marBottom w:val="0"/>
              <w:divBdr>
                <w:top w:val="none" w:sz="0" w:space="0" w:color="auto"/>
                <w:left w:val="none" w:sz="0" w:space="0" w:color="auto"/>
                <w:bottom w:val="none" w:sz="0" w:space="0" w:color="auto"/>
                <w:right w:val="none" w:sz="0" w:space="0" w:color="auto"/>
              </w:divBdr>
              <w:divsChild>
                <w:div w:id="1402604699">
                  <w:marLeft w:val="0"/>
                  <w:marRight w:val="0"/>
                  <w:marTop w:val="0"/>
                  <w:marBottom w:val="0"/>
                  <w:divBdr>
                    <w:top w:val="none" w:sz="0" w:space="0" w:color="auto"/>
                    <w:left w:val="none" w:sz="0" w:space="0" w:color="auto"/>
                    <w:bottom w:val="none" w:sz="0" w:space="0" w:color="auto"/>
                    <w:right w:val="none" w:sz="0" w:space="0" w:color="auto"/>
                  </w:divBdr>
                </w:div>
              </w:divsChild>
            </w:div>
            <w:div w:id="476806128">
              <w:marLeft w:val="0"/>
              <w:marRight w:val="0"/>
              <w:marTop w:val="0"/>
              <w:marBottom w:val="0"/>
              <w:divBdr>
                <w:top w:val="none" w:sz="0" w:space="0" w:color="auto"/>
                <w:left w:val="none" w:sz="0" w:space="0" w:color="auto"/>
                <w:bottom w:val="none" w:sz="0" w:space="0" w:color="auto"/>
                <w:right w:val="none" w:sz="0" w:space="0" w:color="auto"/>
              </w:divBdr>
              <w:divsChild>
                <w:div w:id="3341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47499">
          <w:marLeft w:val="0"/>
          <w:marRight w:val="0"/>
          <w:marTop w:val="0"/>
          <w:marBottom w:val="0"/>
          <w:divBdr>
            <w:top w:val="none" w:sz="0" w:space="0" w:color="auto"/>
            <w:left w:val="none" w:sz="0" w:space="0" w:color="auto"/>
            <w:bottom w:val="none" w:sz="0" w:space="0" w:color="auto"/>
            <w:right w:val="none" w:sz="0" w:space="0" w:color="auto"/>
          </w:divBdr>
          <w:divsChild>
            <w:div w:id="1257330165">
              <w:marLeft w:val="0"/>
              <w:marRight w:val="0"/>
              <w:marTop w:val="0"/>
              <w:marBottom w:val="0"/>
              <w:divBdr>
                <w:top w:val="none" w:sz="0" w:space="0" w:color="auto"/>
                <w:left w:val="none" w:sz="0" w:space="0" w:color="auto"/>
                <w:bottom w:val="none" w:sz="0" w:space="0" w:color="auto"/>
                <w:right w:val="none" w:sz="0" w:space="0" w:color="auto"/>
              </w:divBdr>
              <w:divsChild>
                <w:div w:id="1784492754">
                  <w:marLeft w:val="0"/>
                  <w:marRight w:val="0"/>
                  <w:marTop w:val="0"/>
                  <w:marBottom w:val="0"/>
                  <w:divBdr>
                    <w:top w:val="none" w:sz="0" w:space="0" w:color="auto"/>
                    <w:left w:val="none" w:sz="0" w:space="0" w:color="auto"/>
                    <w:bottom w:val="none" w:sz="0" w:space="0" w:color="auto"/>
                    <w:right w:val="none" w:sz="0" w:space="0" w:color="auto"/>
                  </w:divBdr>
                  <w:divsChild>
                    <w:div w:id="1961106353">
                      <w:marLeft w:val="0"/>
                      <w:marRight w:val="0"/>
                      <w:marTop w:val="0"/>
                      <w:marBottom w:val="0"/>
                      <w:divBdr>
                        <w:top w:val="none" w:sz="0" w:space="0" w:color="auto"/>
                        <w:left w:val="none" w:sz="0" w:space="0" w:color="auto"/>
                        <w:bottom w:val="none" w:sz="0" w:space="0" w:color="auto"/>
                        <w:right w:val="none" w:sz="0" w:space="0" w:color="auto"/>
                      </w:divBdr>
                      <w:divsChild>
                        <w:div w:id="67503010">
                          <w:marLeft w:val="0"/>
                          <w:marRight w:val="0"/>
                          <w:marTop w:val="0"/>
                          <w:marBottom w:val="0"/>
                          <w:divBdr>
                            <w:top w:val="none" w:sz="0" w:space="0" w:color="auto"/>
                            <w:left w:val="none" w:sz="0" w:space="0" w:color="auto"/>
                            <w:bottom w:val="none" w:sz="0" w:space="0" w:color="auto"/>
                            <w:right w:val="none" w:sz="0" w:space="0" w:color="auto"/>
                          </w:divBdr>
                          <w:divsChild>
                            <w:div w:id="229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560626">
          <w:marLeft w:val="0"/>
          <w:marRight w:val="0"/>
          <w:marTop w:val="0"/>
          <w:marBottom w:val="0"/>
          <w:divBdr>
            <w:top w:val="none" w:sz="0" w:space="0" w:color="auto"/>
            <w:left w:val="none" w:sz="0" w:space="0" w:color="auto"/>
            <w:bottom w:val="none" w:sz="0" w:space="0" w:color="auto"/>
            <w:right w:val="none" w:sz="0" w:space="0" w:color="auto"/>
          </w:divBdr>
          <w:divsChild>
            <w:div w:id="1345208356">
              <w:marLeft w:val="0"/>
              <w:marRight w:val="0"/>
              <w:marTop w:val="0"/>
              <w:marBottom w:val="0"/>
              <w:divBdr>
                <w:top w:val="none" w:sz="0" w:space="0" w:color="auto"/>
                <w:left w:val="none" w:sz="0" w:space="0" w:color="auto"/>
                <w:bottom w:val="none" w:sz="0" w:space="0" w:color="auto"/>
                <w:right w:val="none" w:sz="0" w:space="0" w:color="auto"/>
              </w:divBdr>
              <w:divsChild>
                <w:div w:id="1395812611">
                  <w:marLeft w:val="0"/>
                  <w:marRight w:val="0"/>
                  <w:marTop w:val="0"/>
                  <w:marBottom w:val="0"/>
                  <w:divBdr>
                    <w:top w:val="none" w:sz="0" w:space="0" w:color="auto"/>
                    <w:left w:val="none" w:sz="0" w:space="0" w:color="auto"/>
                    <w:bottom w:val="none" w:sz="0" w:space="0" w:color="auto"/>
                    <w:right w:val="none" w:sz="0" w:space="0" w:color="auto"/>
                  </w:divBdr>
                  <w:divsChild>
                    <w:div w:id="415977873">
                      <w:marLeft w:val="0"/>
                      <w:marRight w:val="0"/>
                      <w:marTop w:val="0"/>
                      <w:marBottom w:val="0"/>
                      <w:divBdr>
                        <w:top w:val="none" w:sz="0" w:space="0" w:color="auto"/>
                        <w:left w:val="none" w:sz="0" w:space="0" w:color="auto"/>
                        <w:bottom w:val="none" w:sz="0" w:space="0" w:color="auto"/>
                        <w:right w:val="none" w:sz="0" w:space="0" w:color="auto"/>
                      </w:divBdr>
                      <w:divsChild>
                        <w:div w:id="708185556">
                          <w:marLeft w:val="0"/>
                          <w:marRight w:val="0"/>
                          <w:marTop w:val="0"/>
                          <w:marBottom w:val="0"/>
                          <w:divBdr>
                            <w:top w:val="none" w:sz="0" w:space="0" w:color="auto"/>
                            <w:left w:val="none" w:sz="0" w:space="0" w:color="auto"/>
                            <w:bottom w:val="none" w:sz="0" w:space="0" w:color="auto"/>
                            <w:right w:val="none" w:sz="0" w:space="0" w:color="auto"/>
                          </w:divBdr>
                          <w:divsChild>
                            <w:div w:id="12330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19772">
          <w:marLeft w:val="0"/>
          <w:marRight w:val="0"/>
          <w:marTop w:val="0"/>
          <w:marBottom w:val="0"/>
          <w:divBdr>
            <w:top w:val="none" w:sz="0" w:space="0" w:color="auto"/>
            <w:left w:val="none" w:sz="0" w:space="0" w:color="auto"/>
            <w:bottom w:val="none" w:sz="0" w:space="0" w:color="auto"/>
            <w:right w:val="none" w:sz="0" w:space="0" w:color="auto"/>
          </w:divBdr>
          <w:divsChild>
            <w:div w:id="1845240178">
              <w:marLeft w:val="0"/>
              <w:marRight w:val="0"/>
              <w:marTop w:val="0"/>
              <w:marBottom w:val="0"/>
              <w:divBdr>
                <w:top w:val="none" w:sz="0" w:space="0" w:color="auto"/>
                <w:left w:val="none" w:sz="0" w:space="0" w:color="auto"/>
                <w:bottom w:val="none" w:sz="0" w:space="0" w:color="auto"/>
                <w:right w:val="none" w:sz="0" w:space="0" w:color="auto"/>
              </w:divBdr>
              <w:divsChild>
                <w:div w:id="1813132348">
                  <w:marLeft w:val="0"/>
                  <w:marRight w:val="0"/>
                  <w:marTop w:val="0"/>
                  <w:marBottom w:val="0"/>
                  <w:divBdr>
                    <w:top w:val="none" w:sz="0" w:space="0" w:color="auto"/>
                    <w:left w:val="none" w:sz="0" w:space="0" w:color="auto"/>
                    <w:bottom w:val="none" w:sz="0" w:space="0" w:color="auto"/>
                    <w:right w:val="none" w:sz="0" w:space="0" w:color="auto"/>
                  </w:divBdr>
                </w:div>
              </w:divsChild>
            </w:div>
            <w:div w:id="1020164881">
              <w:marLeft w:val="0"/>
              <w:marRight w:val="0"/>
              <w:marTop w:val="0"/>
              <w:marBottom w:val="0"/>
              <w:divBdr>
                <w:top w:val="none" w:sz="0" w:space="0" w:color="auto"/>
                <w:left w:val="none" w:sz="0" w:space="0" w:color="auto"/>
                <w:bottom w:val="none" w:sz="0" w:space="0" w:color="auto"/>
                <w:right w:val="none" w:sz="0" w:space="0" w:color="auto"/>
              </w:divBdr>
              <w:divsChild>
                <w:div w:id="854340179">
                  <w:marLeft w:val="0"/>
                  <w:marRight w:val="0"/>
                  <w:marTop w:val="0"/>
                  <w:marBottom w:val="0"/>
                  <w:divBdr>
                    <w:top w:val="none" w:sz="0" w:space="0" w:color="auto"/>
                    <w:left w:val="none" w:sz="0" w:space="0" w:color="auto"/>
                    <w:bottom w:val="none" w:sz="0" w:space="0" w:color="auto"/>
                    <w:right w:val="none" w:sz="0" w:space="0" w:color="auto"/>
                  </w:divBdr>
                </w:div>
              </w:divsChild>
            </w:div>
            <w:div w:id="404647949">
              <w:marLeft w:val="0"/>
              <w:marRight w:val="0"/>
              <w:marTop w:val="0"/>
              <w:marBottom w:val="0"/>
              <w:divBdr>
                <w:top w:val="none" w:sz="0" w:space="0" w:color="auto"/>
                <w:left w:val="none" w:sz="0" w:space="0" w:color="auto"/>
                <w:bottom w:val="none" w:sz="0" w:space="0" w:color="auto"/>
                <w:right w:val="none" w:sz="0" w:space="0" w:color="auto"/>
              </w:divBdr>
              <w:divsChild>
                <w:div w:id="1886333715">
                  <w:marLeft w:val="0"/>
                  <w:marRight w:val="0"/>
                  <w:marTop w:val="0"/>
                  <w:marBottom w:val="0"/>
                  <w:divBdr>
                    <w:top w:val="none" w:sz="0" w:space="0" w:color="auto"/>
                    <w:left w:val="none" w:sz="0" w:space="0" w:color="auto"/>
                    <w:bottom w:val="none" w:sz="0" w:space="0" w:color="auto"/>
                    <w:right w:val="none" w:sz="0" w:space="0" w:color="auto"/>
                  </w:divBdr>
                </w:div>
              </w:divsChild>
            </w:div>
            <w:div w:id="170682611">
              <w:marLeft w:val="0"/>
              <w:marRight w:val="0"/>
              <w:marTop w:val="0"/>
              <w:marBottom w:val="0"/>
              <w:divBdr>
                <w:top w:val="none" w:sz="0" w:space="0" w:color="auto"/>
                <w:left w:val="none" w:sz="0" w:space="0" w:color="auto"/>
                <w:bottom w:val="none" w:sz="0" w:space="0" w:color="auto"/>
                <w:right w:val="none" w:sz="0" w:space="0" w:color="auto"/>
              </w:divBdr>
              <w:divsChild>
                <w:div w:id="1353454290">
                  <w:marLeft w:val="0"/>
                  <w:marRight w:val="0"/>
                  <w:marTop w:val="0"/>
                  <w:marBottom w:val="0"/>
                  <w:divBdr>
                    <w:top w:val="none" w:sz="0" w:space="0" w:color="auto"/>
                    <w:left w:val="none" w:sz="0" w:space="0" w:color="auto"/>
                    <w:bottom w:val="none" w:sz="0" w:space="0" w:color="auto"/>
                    <w:right w:val="none" w:sz="0" w:space="0" w:color="auto"/>
                  </w:divBdr>
                </w:div>
              </w:divsChild>
            </w:div>
            <w:div w:id="792137347">
              <w:marLeft w:val="0"/>
              <w:marRight w:val="0"/>
              <w:marTop w:val="0"/>
              <w:marBottom w:val="0"/>
              <w:divBdr>
                <w:top w:val="none" w:sz="0" w:space="0" w:color="auto"/>
                <w:left w:val="none" w:sz="0" w:space="0" w:color="auto"/>
                <w:bottom w:val="none" w:sz="0" w:space="0" w:color="auto"/>
                <w:right w:val="none" w:sz="0" w:space="0" w:color="auto"/>
              </w:divBdr>
              <w:divsChild>
                <w:div w:id="13300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47302">
          <w:marLeft w:val="0"/>
          <w:marRight w:val="0"/>
          <w:marTop w:val="0"/>
          <w:marBottom w:val="0"/>
          <w:divBdr>
            <w:top w:val="none" w:sz="0" w:space="0" w:color="auto"/>
            <w:left w:val="none" w:sz="0" w:space="0" w:color="auto"/>
            <w:bottom w:val="none" w:sz="0" w:space="0" w:color="auto"/>
            <w:right w:val="none" w:sz="0" w:space="0" w:color="auto"/>
          </w:divBdr>
          <w:divsChild>
            <w:div w:id="717776826">
              <w:marLeft w:val="0"/>
              <w:marRight w:val="0"/>
              <w:marTop w:val="0"/>
              <w:marBottom w:val="0"/>
              <w:divBdr>
                <w:top w:val="none" w:sz="0" w:space="0" w:color="auto"/>
                <w:left w:val="none" w:sz="0" w:space="0" w:color="auto"/>
                <w:bottom w:val="none" w:sz="0" w:space="0" w:color="auto"/>
                <w:right w:val="none" w:sz="0" w:space="0" w:color="auto"/>
              </w:divBdr>
              <w:divsChild>
                <w:div w:id="1136291472">
                  <w:marLeft w:val="0"/>
                  <w:marRight w:val="0"/>
                  <w:marTop w:val="0"/>
                  <w:marBottom w:val="0"/>
                  <w:divBdr>
                    <w:top w:val="none" w:sz="0" w:space="0" w:color="auto"/>
                    <w:left w:val="none" w:sz="0" w:space="0" w:color="auto"/>
                    <w:bottom w:val="none" w:sz="0" w:space="0" w:color="auto"/>
                    <w:right w:val="none" w:sz="0" w:space="0" w:color="auto"/>
                  </w:divBdr>
                  <w:divsChild>
                    <w:div w:id="936908737">
                      <w:marLeft w:val="0"/>
                      <w:marRight w:val="0"/>
                      <w:marTop w:val="0"/>
                      <w:marBottom w:val="0"/>
                      <w:divBdr>
                        <w:top w:val="none" w:sz="0" w:space="0" w:color="auto"/>
                        <w:left w:val="none" w:sz="0" w:space="0" w:color="auto"/>
                        <w:bottom w:val="none" w:sz="0" w:space="0" w:color="auto"/>
                        <w:right w:val="none" w:sz="0" w:space="0" w:color="auto"/>
                      </w:divBdr>
                      <w:divsChild>
                        <w:div w:id="210309997">
                          <w:marLeft w:val="0"/>
                          <w:marRight w:val="0"/>
                          <w:marTop w:val="0"/>
                          <w:marBottom w:val="0"/>
                          <w:divBdr>
                            <w:top w:val="none" w:sz="0" w:space="0" w:color="auto"/>
                            <w:left w:val="none" w:sz="0" w:space="0" w:color="auto"/>
                            <w:bottom w:val="none" w:sz="0" w:space="0" w:color="auto"/>
                            <w:right w:val="none" w:sz="0" w:space="0" w:color="auto"/>
                          </w:divBdr>
                          <w:divsChild>
                            <w:div w:id="17743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553076">
          <w:marLeft w:val="0"/>
          <w:marRight w:val="0"/>
          <w:marTop w:val="0"/>
          <w:marBottom w:val="0"/>
          <w:divBdr>
            <w:top w:val="none" w:sz="0" w:space="0" w:color="auto"/>
            <w:left w:val="none" w:sz="0" w:space="0" w:color="auto"/>
            <w:bottom w:val="none" w:sz="0" w:space="0" w:color="auto"/>
            <w:right w:val="none" w:sz="0" w:space="0" w:color="auto"/>
          </w:divBdr>
          <w:divsChild>
            <w:div w:id="1416975164">
              <w:marLeft w:val="0"/>
              <w:marRight w:val="0"/>
              <w:marTop w:val="0"/>
              <w:marBottom w:val="0"/>
              <w:divBdr>
                <w:top w:val="none" w:sz="0" w:space="0" w:color="auto"/>
                <w:left w:val="none" w:sz="0" w:space="0" w:color="auto"/>
                <w:bottom w:val="none" w:sz="0" w:space="0" w:color="auto"/>
                <w:right w:val="none" w:sz="0" w:space="0" w:color="auto"/>
              </w:divBdr>
              <w:divsChild>
                <w:div w:id="2066098992">
                  <w:marLeft w:val="0"/>
                  <w:marRight w:val="0"/>
                  <w:marTop w:val="0"/>
                  <w:marBottom w:val="0"/>
                  <w:divBdr>
                    <w:top w:val="none" w:sz="0" w:space="0" w:color="auto"/>
                    <w:left w:val="none" w:sz="0" w:space="0" w:color="auto"/>
                    <w:bottom w:val="none" w:sz="0" w:space="0" w:color="auto"/>
                    <w:right w:val="none" w:sz="0" w:space="0" w:color="auto"/>
                  </w:divBdr>
                  <w:divsChild>
                    <w:div w:id="2105301382">
                      <w:marLeft w:val="0"/>
                      <w:marRight w:val="0"/>
                      <w:marTop w:val="0"/>
                      <w:marBottom w:val="0"/>
                      <w:divBdr>
                        <w:top w:val="none" w:sz="0" w:space="0" w:color="auto"/>
                        <w:left w:val="none" w:sz="0" w:space="0" w:color="auto"/>
                        <w:bottom w:val="none" w:sz="0" w:space="0" w:color="auto"/>
                        <w:right w:val="none" w:sz="0" w:space="0" w:color="auto"/>
                      </w:divBdr>
                      <w:divsChild>
                        <w:div w:id="1781029264">
                          <w:marLeft w:val="0"/>
                          <w:marRight w:val="0"/>
                          <w:marTop w:val="0"/>
                          <w:marBottom w:val="0"/>
                          <w:divBdr>
                            <w:top w:val="none" w:sz="0" w:space="0" w:color="auto"/>
                            <w:left w:val="none" w:sz="0" w:space="0" w:color="auto"/>
                            <w:bottom w:val="none" w:sz="0" w:space="0" w:color="auto"/>
                            <w:right w:val="none" w:sz="0" w:space="0" w:color="auto"/>
                          </w:divBdr>
                          <w:divsChild>
                            <w:div w:id="212442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52326">
          <w:marLeft w:val="0"/>
          <w:marRight w:val="0"/>
          <w:marTop w:val="0"/>
          <w:marBottom w:val="0"/>
          <w:divBdr>
            <w:top w:val="none" w:sz="0" w:space="0" w:color="auto"/>
            <w:left w:val="none" w:sz="0" w:space="0" w:color="auto"/>
            <w:bottom w:val="none" w:sz="0" w:space="0" w:color="auto"/>
            <w:right w:val="none" w:sz="0" w:space="0" w:color="auto"/>
          </w:divBdr>
          <w:divsChild>
            <w:div w:id="836961549">
              <w:marLeft w:val="0"/>
              <w:marRight w:val="0"/>
              <w:marTop w:val="0"/>
              <w:marBottom w:val="0"/>
              <w:divBdr>
                <w:top w:val="none" w:sz="0" w:space="0" w:color="auto"/>
                <w:left w:val="none" w:sz="0" w:space="0" w:color="auto"/>
                <w:bottom w:val="none" w:sz="0" w:space="0" w:color="auto"/>
                <w:right w:val="none" w:sz="0" w:space="0" w:color="auto"/>
              </w:divBdr>
              <w:divsChild>
                <w:div w:id="1806967855">
                  <w:marLeft w:val="0"/>
                  <w:marRight w:val="0"/>
                  <w:marTop w:val="0"/>
                  <w:marBottom w:val="0"/>
                  <w:divBdr>
                    <w:top w:val="none" w:sz="0" w:space="0" w:color="auto"/>
                    <w:left w:val="none" w:sz="0" w:space="0" w:color="auto"/>
                    <w:bottom w:val="none" w:sz="0" w:space="0" w:color="auto"/>
                    <w:right w:val="none" w:sz="0" w:space="0" w:color="auto"/>
                  </w:divBdr>
                </w:div>
              </w:divsChild>
            </w:div>
            <w:div w:id="639649427">
              <w:marLeft w:val="0"/>
              <w:marRight w:val="0"/>
              <w:marTop w:val="0"/>
              <w:marBottom w:val="0"/>
              <w:divBdr>
                <w:top w:val="none" w:sz="0" w:space="0" w:color="auto"/>
                <w:left w:val="none" w:sz="0" w:space="0" w:color="auto"/>
                <w:bottom w:val="none" w:sz="0" w:space="0" w:color="auto"/>
                <w:right w:val="none" w:sz="0" w:space="0" w:color="auto"/>
              </w:divBdr>
              <w:divsChild>
                <w:div w:id="1032151705">
                  <w:marLeft w:val="0"/>
                  <w:marRight w:val="0"/>
                  <w:marTop w:val="0"/>
                  <w:marBottom w:val="0"/>
                  <w:divBdr>
                    <w:top w:val="none" w:sz="0" w:space="0" w:color="auto"/>
                    <w:left w:val="none" w:sz="0" w:space="0" w:color="auto"/>
                    <w:bottom w:val="none" w:sz="0" w:space="0" w:color="auto"/>
                    <w:right w:val="none" w:sz="0" w:space="0" w:color="auto"/>
                  </w:divBdr>
                </w:div>
              </w:divsChild>
            </w:div>
            <w:div w:id="337465988">
              <w:marLeft w:val="0"/>
              <w:marRight w:val="0"/>
              <w:marTop w:val="0"/>
              <w:marBottom w:val="0"/>
              <w:divBdr>
                <w:top w:val="none" w:sz="0" w:space="0" w:color="auto"/>
                <w:left w:val="none" w:sz="0" w:space="0" w:color="auto"/>
                <w:bottom w:val="none" w:sz="0" w:space="0" w:color="auto"/>
                <w:right w:val="none" w:sz="0" w:space="0" w:color="auto"/>
              </w:divBdr>
              <w:divsChild>
                <w:div w:id="126625235">
                  <w:marLeft w:val="0"/>
                  <w:marRight w:val="0"/>
                  <w:marTop w:val="0"/>
                  <w:marBottom w:val="0"/>
                  <w:divBdr>
                    <w:top w:val="none" w:sz="0" w:space="0" w:color="auto"/>
                    <w:left w:val="none" w:sz="0" w:space="0" w:color="auto"/>
                    <w:bottom w:val="none" w:sz="0" w:space="0" w:color="auto"/>
                    <w:right w:val="none" w:sz="0" w:space="0" w:color="auto"/>
                  </w:divBdr>
                </w:div>
              </w:divsChild>
            </w:div>
            <w:div w:id="896821098">
              <w:marLeft w:val="0"/>
              <w:marRight w:val="0"/>
              <w:marTop w:val="0"/>
              <w:marBottom w:val="0"/>
              <w:divBdr>
                <w:top w:val="none" w:sz="0" w:space="0" w:color="auto"/>
                <w:left w:val="none" w:sz="0" w:space="0" w:color="auto"/>
                <w:bottom w:val="none" w:sz="0" w:space="0" w:color="auto"/>
                <w:right w:val="none" w:sz="0" w:space="0" w:color="auto"/>
              </w:divBdr>
              <w:divsChild>
                <w:div w:id="968783181">
                  <w:marLeft w:val="0"/>
                  <w:marRight w:val="0"/>
                  <w:marTop w:val="0"/>
                  <w:marBottom w:val="0"/>
                  <w:divBdr>
                    <w:top w:val="none" w:sz="0" w:space="0" w:color="auto"/>
                    <w:left w:val="none" w:sz="0" w:space="0" w:color="auto"/>
                    <w:bottom w:val="none" w:sz="0" w:space="0" w:color="auto"/>
                    <w:right w:val="none" w:sz="0" w:space="0" w:color="auto"/>
                  </w:divBdr>
                </w:div>
              </w:divsChild>
            </w:div>
            <w:div w:id="1950357507">
              <w:marLeft w:val="0"/>
              <w:marRight w:val="0"/>
              <w:marTop w:val="0"/>
              <w:marBottom w:val="0"/>
              <w:divBdr>
                <w:top w:val="none" w:sz="0" w:space="0" w:color="auto"/>
                <w:left w:val="none" w:sz="0" w:space="0" w:color="auto"/>
                <w:bottom w:val="none" w:sz="0" w:space="0" w:color="auto"/>
                <w:right w:val="none" w:sz="0" w:space="0" w:color="auto"/>
              </w:divBdr>
              <w:divsChild>
                <w:div w:id="180369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8310">
          <w:marLeft w:val="0"/>
          <w:marRight w:val="0"/>
          <w:marTop w:val="0"/>
          <w:marBottom w:val="0"/>
          <w:divBdr>
            <w:top w:val="none" w:sz="0" w:space="0" w:color="auto"/>
            <w:left w:val="none" w:sz="0" w:space="0" w:color="auto"/>
            <w:bottom w:val="none" w:sz="0" w:space="0" w:color="auto"/>
            <w:right w:val="none" w:sz="0" w:space="0" w:color="auto"/>
          </w:divBdr>
          <w:divsChild>
            <w:div w:id="839659230">
              <w:marLeft w:val="0"/>
              <w:marRight w:val="0"/>
              <w:marTop w:val="0"/>
              <w:marBottom w:val="0"/>
              <w:divBdr>
                <w:top w:val="none" w:sz="0" w:space="0" w:color="auto"/>
                <w:left w:val="none" w:sz="0" w:space="0" w:color="auto"/>
                <w:bottom w:val="none" w:sz="0" w:space="0" w:color="auto"/>
                <w:right w:val="none" w:sz="0" w:space="0" w:color="auto"/>
              </w:divBdr>
              <w:divsChild>
                <w:div w:id="1591960781">
                  <w:marLeft w:val="0"/>
                  <w:marRight w:val="0"/>
                  <w:marTop w:val="0"/>
                  <w:marBottom w:val="0"/>
                  <w:divBdr>
                    <w:top w:val="none" w:sz="0" w:space="0" w:color="auto"/>
                    <w:left w:val="none" w:sz="0" w:space="0" w:color="auto"/>
                    <w:bottom w:val="none" w:sz="0" w:space="0" w:color="auto"/>
                    <w:right w:val="none" w:sz="0" w:space="0" w:color="auto"/>
                  </w:divBdr>
                  <w:divsChild>
                    <w:div w:id="1913347281">
                      <w:marLeft w:val="0"/>
                      <w:marRight w:val="0"/>
                      <w:marTop w:val="0"/>
                      <w:marBottom w:val="0"/>
                      <w:divBdr>
                        <w:top w:val="none" w:sz="0" w:space="0" w:color="auto"/>
                        <w:left w:val="none" w:sz="0" w:space="0" w:color="auto"/>
                        <w:bottom w:val="none" w:sz="0" w:space="0" w:color="auto"/>
                        <w:right w:val="none" w:sz="0" w:space="0" w:color="auto"/>
                      </w:divBdr>
                      <w:divsChild>
                        <w:div w:id="478032972">
                          <w:marLeft w:val="0"/>
                          <w:marRight w:val="0"/>
                          <w:marTop w:val="0"/>
                          <w:marBottom w:val="0"/>
                          <w:divBdr>
                            <w:top w:val="none" w:sz="0" w:space="0" w:color="auto"/>
                            <w:left w:val="none" w:sz="0" w:space="0" w:color="auto"/>
                            <w:bottom w:val="none" w:sz="0" w:space="0" w:color="auto"/>
                            <w:right w:val="none" w:sz="0" w:space="0" w:color="auto"/>
                          </w:divBdr>
                          <w:divsChild>
                            <w:div w:id="3918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875">
          <w:marLeft w:val="0"/>
          <w:marRight w:val="0"/>
          <w:marTop w:val="0"/>
          <w:marBottom w:val="0"/>
          <w:divBdr>
            <w:top w:val="none" w:sz="0" w:space="0" w:color="auto"/>
            <w:left w:val="none" w:sz="0" w:space="0" w:color="auto"/>
            <w:bottom w:val="none" w:sz="0" w:space="0" w:color="auto"/>
            <w:right w:val="none" w:sz="0" w:space="0" w:color="auto"/>
          </w:divBdr>
          <w:divsChild>
            <w:div w:id="1870340710">
              <w:marLeft w:val="0"/>
              <w:marRight w:val="0"/>
              <w:marTop w:val="0"/>
              <w:marBottom w:val="0"/>
              <w:divBdr>
                <w:top w:val="none" w:sz="0" w:space="0" w:color="auto"/>
                <w:left w:val="none" w:sz="0" w:space="0" w:color="auto"/>
                <w:bottom w:val="none" w:sz="0" w:space="0" w:color="auto"/>
                <w:right w:val="none" w:sz="0" w:space="0" w:color="auto"/>
              </w:divBdr>
              <w:divsChild>
                <w:div w:id="169956991">
                  <w:marLeft w:val="0"/>
                  <w:marRight w:val="0"/>
                  <w:marTop w:val="0"/>
                  <w:marBottom w:val="0"/>
                  <w:divBdr>
                    <w:top w:val="none" w:sz="0" w:space="0" w:color="auto"/>
                    <w:left w:val="none" w:sz="0" w:space="0" w:color="auto"/>
                    <w:bottom w:val="none" w:sz="0" w:space="0" w:color="auto"/>
                    <w:right w:val="none" w:sz="0" w:space="0" w:color="auto"/>
                  </w:divBdr>
                  <w:divsChild>
                    <w:div w:id="1810249371">
                      <w:marLeft w:val="0"/>
                      <w:marRight w:val="0"/>
                      <w:marTop w:val="0"/>
                      <w:marBottom w:val="0"/>
                      <w:divBdr>
                        <w:top w:val="none" w:sz="0" w:space="0" w:color="auto"/>
                        <w:left w:val="none" w:sz="0" w:space="0" w:color="auto"/>
                        <w:bottom w:val="none" w:sz="0" w:space="0" w:color="auto"/>
                        <w:right w:val="none" w:sz="0" w:space="0" w:color="auto"/>
                      </w:divBdr>
                      <w:divsChild>
                        <w:div w:id="211311785">
                          <w:marLeft w:val="0"/>
                          <w:marRight w:val="0"/>
                          <w:marTop w:val="0"/>
                          <w:marBottom w:val="0"/>
                          <w:divBdr>
                            <w:top w:val="none" w:sz="0" w:space="0" w:color="auto"/>
                            <w:left w:val="none" w:sz="0" w:space="0" w:color="auto"/>
                            <w:bottom w:val="none" w:sz="0" w:space="0" w:color="auto"/>
                            <w:right w:val="none" w:sz="0" w:space="0" w:color="auto"/>
                          </w:divBdr>
                          <w:divsChild>
                            <w:div w:id="37840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83715">
      <w:bodyDiv w:val="1"/>
      <w:marLeft w:val="0"/>
      <w:marRight w:val="0"/>
      <w:marTop w:val="0"/>
      <w:marBottom w:val="0"/>
      <w:divBdr>
        <w:top w:val="none" w:sz="0" w:space="0" w:color="auto"/>
        <w:left w:val="none" w:sz="0" w:space="0" w:color="auto"/>
        <w:bottom w:val="none" w:sz="0" w:space="0" w:color="auto"/>
        <w:right w:val="none" w:sz="0" w:space="0" w:color="auto"/>
      </w:divBdr>
    </w:div>
    <w:div w:id="1579706446">
      <w:bodyDiv w:val="1"/>
      <w:marLeft w:val="0"/>
      <w:marRight w:val="0"/>
      <w:marTop w:val="0"/>
      <w:marBottom w:val="0"/>
      <w:divBdr>
        <w:top w:val="none" w:sz="0" w:space="0" w:color="auto"/>
        <w:left w:val="none" w:sz="0" w:space="0" w:color="auto"/>
        <w:bottom w:val="none" w:sz="0" w:space="0" w:color="auto"/>
        <w:right w:val="none" w:sz="0" w:space="0" w:color="auto"/>
      </w:divBdr>
    </w:div>
    <w:div w:id="1584728663">
      <w:bodyDiv w:val="1"/>
      <w:marLeft w:val="0"/>
      <w:marRight w:val="0"/>
      <w:marTop w:val="0"/>
      <w:marBottom w:val="0"/>
      <w:divBdr>
        <w:top w:val="none" w:sz="0" w:space="0" w:color="auto"/>
        <w:left w:val="none" w:sz="0" w:space="0" w:color="auto"/>
        <w:bottom w:val="none" w:sz="0" w:space="0" w:color="auto"/>
        <w:right w:val="none" w:sz="0" w:space="0" w:color="auto"/>
      </w:divBdr>
    </w:div>
    <w:div w:id="1635403350">
      <w:bodyDiv w:val="1"/>
      <w:marLeft w:val="0"/>
      <w:marRight w:val="0"/>
      <w:marTop w:val="0"/>
      <w:marBottom w:val="0"/>
      <w:divBdr>
        <w:top w:val="none" w:sz="0" w:space="0" w:color="auto"/>
        <w:left w:val="none" w:sz="0" w:space="0" w:color="auto"/>
        <w:bottom w:val="none" w:sz="0" w:space="0" w:color="auto"/>
        <w:right w:val="none" w:sz="0" w:space="0" w:color="auto"/>
      </w:divBdr>
    </w:div>
    <w:div w:id="1670868054">
      <w:bodyDiv w:val="1"/>
      <w:marLeft w:val="0"/>
      <w:marRight w:val="0"/>
      <w:marTop w:val="0"/>
      <w:marBottom w:val="0"/>
      <w:divBdr>
        <w:top w:val="none" w:sz="0" w:space="0" w:color="auto"/>
        <w:left w:val="none" w:sz="0" w:space="0" w:color="auto"/>
        <w:bottom w:val="none" w:sz="0" w:space="0" w:color="auto"/>
        <w:right w:val="none" w:sz="0" w:space="0" w:color="auto"/>
      </w:divBdr>
      <w:divsChild>
        <w:div w:id="1364407793">
          <w:marLeft w:val="0"/>
          <w:marRight w:val="0"/>
          <w:marTop w:val="0"/>
          <w:marBottom w:val="0"/>
          <w:divBdr>
            <w:top w:val="single" w:sz="2" w:space="0" w:color="1F1F1E"/>
            <w:left w:val="single" w:sz="2" w:space="0" w:color="1F1F1E"/>
            <w:bottom w:val="single" w:sz="2" w:space="0" w:color="1F1F1E"/>
            <w:right w:val="single" w:sz="2" w:space="0" w:color="1F1F1E"/>
          </w:divBdr>
          <w:divsChild>
            <w:div w:id="977421175">
              <w:marLeft w:val="0"/>
              <w:marRight w:val="0"/>
              <w:marTop w:val="0"/>
              <w:marBottom w:val="0"/>
              <w:divBdr>
                <w:top w:val="single" w:sz="2" w:space="0" w:color="1F1F1E"/>
                <w:left w:val="single" w:sz="2" w:space="0" w:color="1F1F1E"/>
                <w:bottom w:val="single" w:sz="2" w:space="0" w:color="1F1F1E"/>
                <w:right w:val="single" w:sz="2" w:space="0" w:color="1F1F1E"/>
              </w:divBdr>
              <w:divsChild>
                <w:div w:id="1725835935">
                  <w:marLeft w:val="0"/>
                  <w:marRight w:val="0"/>
                  <w:marTop w:val="0"/>
                  <w:marBottom w:val="0"/>
                  <w:divBdr>
                    <w:top w:val="single" w:sz="2" w:space="0" w:color="1F1F1E"/>
                    <w:left w:val="single" w:sz="2" w:space="0" w:color="1F1F1E"/>
                    <w:bottom w:val="single" w:sz="2" w:space="0" w:color="1F1F1E"/>
                    <w:right w:val="single" w:sz="2" w:space="0" w:color="1F1F1E"/>
                  </w:divBdr>
                  <w:divsChild>
                    <w:div w:id="956105627">
                      <w:marLeft w:val="0"/>
                      <w:marRight w:val="0"/>
                      <w:marTop w:val="0"/>
                      <w:marBottom w:val="0"/>
                      <w:divBdr>
                        <w:top w:val="single" w:sz="2" w:space="0" w:color="1F1F1E"/>
                        <w:left w:val="single" w:sz="2" w:space="0" w:color="1F1F1E"/>
                        <w:bottom w:val="single" w:sz="2" w:space="0" w:color="1F1F1E"/>
                        <w:right w:val="single" w:sz="2" w:space="0" w:color="1F1F1E"/>
                      </w:divBdr>
                      <w:divsChild>
                        <w:div w:id="132411878">
                          <w:marLeft w:val="0"/>
                          <w:marRight w:val="0"/>
                          <w:marTop w:val="0"/>
                          <w:marBottom w:val="0"/>
                          <w:divBdr>
                            <w:top w:val="single" w:sz="2" w:space="0" w:color="1F1F1E"/>
                            <w:left w:val="single" w:sz="2" w:space="0" w:color="1F1F1E"/>
                            <w:bottom w:val="single" w:sz="2" w:space="0" w:color="1F1F1E"/>
                            <w:right w:val="single" w:sz="2" w:space="0" w:color="1F1F1E"/>
                          </w:divBdr>
                          <w:divsChild>
                            <w:div w:id="76456853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1682077590">
      <w:bodyDiv w:val="1"/>
      <w:marLeft w:val="0"/>
      <w:marRight w:val="0"/>
      <w:marTop w:val="0"/>
      <w:marBottom w:val="0"/>
      <w:divBdr>
        <w:top w:val="none" w:sz="0" w:space="0" w:color="auto"/>
        <w:left w:val="none" w:sz="0" w:space="0" w:color="auto"/>
        <w:bottom w:val="none" w:sz="0" w:space="0" w:color="auto"/>
        <w:right w:val="none" w:sz="0" w:space="0" w:color="auto"/>
      </w:divBdr>
      <w:divsChild>
        <w:div w:id="16931403">
          <w:marLeft w:val="0"/>
          <w:marRight w:val="0"/>
          <w:marTop w:val="0"/>
          <w:marBottom w:val="0"/>
          <w:divBdr>
            <w:top w:val="none" w:sz="0" w:space="0" w:color="auto"/>
            <w:left w:val="none" w:sz="0" w:space="0" w:color="auto"/>
            <w:bottom w:val="none" w:sz="0" w:space="0" w:color="auto"/>
            <w:right w:val="none" w:sz="0" w:space="0" w:color="auto"/>
          </w:divBdr>
        </w:div>
        <w:div w:id="818809127">
          <w:marLeft w:val="0"/>
          <w:marRight w:val="0"/>
          <w:marTop w:val="0"/>
          <w:marBottom w:val="0"/>
          <w:divBdr>
            <w:top w:val="none" w:sz="0" w:space="0" w:color="auto"/>
            <w:left w:val="none" w:sz="0" w:space="0" w:color="auto"/>
            <w:bottom w:val="none" w:sz="0" w:space="0" w:color="auto"/>
            <w:right w:val="none" w:sz="0" w:space="0" w:color="auto"/>
          </w:divBdr>
        </w:div>
        <w:div w:id="2106075902">
          <w:marLeft w:val="0"/>
          <w:marRight w:val="0"/>
          <w:marTop w:val="0"/>
          <w:marBottom w:val="0"/>
          <w:divBdr>
            <w:top w:val="none" w:sz="0" w:space="0" w:color="auto"/>
            <w:left w:val="none" w:sz="0" w:space="0" w:color="auto"/>
            <w:bottom w:val="none" w:sz="0" w:space="0" w:color="auto"/>
            <w:right w:val="none" w:sz="0" w:space="0" w:color="auto"/>
          </w:divBdr>
        </w:div>
      </w:divsChild>
    </w:div>
    <w:div w:id="1848015203">
      <w:bodyDiv w:val="1"/>
      <w:marLeft w:val="0"/>
      <w:marRight w:val="0"/>
      <w:marTop w:val="0"/>
      <w:marBottom w:val="0"/>
      <w:divBdr>
        <w:top w:val="none" w:sz="0" w:space="0" w:color="auto"/>
        <w:left w:val="none" w:sz="0" w:space="0" w:color="auto"/>
        <w:bottom w:val="none" w:sz="0" w:space="0" w:color="auto"/>
        <w:right w:val="none" w:sz="0" w:space="0" w:color="auto"/>
      </w:divBdr>
    </w:div>
    <w:div w:id="1853639888">
      <w:bodyDiv w:val="1"/>
      <w:marLeft w:val="0"/>
      <w:marRight w:val="0"/>
      <w:marTop w:val="0"/>
      <w:marBottom w:val="0"/>
      <w:divBdr>
        <w:top w:val="none" w:sz="0" w:space="0" w:color="auto"/>
        <w:left w:val="none" w:sz="0" w:space="0" w:color="auto"/>
        <w:bottom w:val="none" w:sz="0" w:space="0" w:color="auto"/>
        <w:right w:val="none" w:sz="0" w:space="0" w:color="auto"/>
      </w:divBdr>
    </w:div>
    <w:div w:id="1883860966">
      <w:bodyDiv w:val="1"/>
      <w:marLeft w:val="0"/>
      <w:marRight w:val="0"/>
      <w:marTop w:val="0"/>
      <w:marBottom w:val="0"/>
      <w:divBdr>
        <w:top w:val="none" w:sz="0" w:space="0" w:color="auto"/>
        <w:left w:val="none" w:sz="0" w:space="0" w:color="auto"/>
        <w:bottom w:val="none" w:sz="0" w:space="0" w:color="auto"/>
        <w:right w:val="none" w:sz="0" w:space="0" w:color="auto"/>
      </w:divBdr>
    </w:div>
    <w:div w:id="194106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yperlink" Target="https://siconfi.tesouro.gov.br/siconfi/pages/public/consulta_finbra/finbra_list.jsf" TargetMode="External"/><Relationship Id="rId26" Type="http://schemas.openxmlformats.org/officeDocument/2006/relationships/image" Target="media/image2.png"/><Relationship Id="rId39" Type="http://schemas.openxmlformats.org/officeDocument/2006/relationships/theme" Target="theme/theme1.xml"/><Relationship Id="rId21" Type="http://schemas.openxmlformats.org/officeDocument/2006/relationships/hyperlink" Target="https://siconfi.tesouro.gov.br/siconfi/pages/public/consulta_finbra/finbra_list.jsf" TargetMode="External"/><Relationship Id="rId34" Type="http://schemas.openxmlformats.org/officeDocument/2006/relationships/hyperlink" Target="https://ec.europa.eu/eurostat/databrowser/view/gov_10a_main/default/table" TargetMode="External"/><Relationship Id="rId7" Type="http://schemas.openxmlformats.org/officeDocument/2006/relationships/hyperlink" Target="https://www.planalto.gov.br/ccivil_03/leis/lcp/lcp101.htm" TargetMode="External"/><Relationship Id="rId12" Type="http://schemas.openxmlformats.org/officeDocument/2006/relationships/hyperlink" Target="https://economy-finance.ec.europa.eu/economic-and-fiscal-governance/stability-and-growth-pact_en" TargetMode="External"/><Relationship Id="rId17" Type="http://schemas.openxmlformats.org/officeDocument/2006/relationships/chart" Target="charts/chart5.xml"/><Relationship Id="rId25" Type="http://schemas.openxmlformats.org/officeDocument/2006/relationships/hyperlink" Target="https://www.ibge.gov.br/estatisticas/economicas/contas-nacionais/9088-produto-interno-bruto-dos-municipios.html" TargetMode="External"/><Relationship Id="rId33" Type="http://schemas.openxmlformats.org/officeDocument/2006/relationships/hyperlink" Target="https://siconfi.tesouro.gov.br/siconfi/pages/public/consulta_finbra/finbra_list.js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chart" Target="charts/chart7.xml"/><Relationship Id="rId29" Type="http://schemas.openxmlformats.org/officeDocument/2006/relationships/hyperlink" Target="https://www.ibge.gov.br/estatisticas/sociais/populacao/9103-estimativas-de-populacao.html" TargetMode="External"/><Relationship Id="rId1" Type="http://schemas.openxmlformats.org/officeDocument/2006/relationships/numbering" Target="numbering.xml"/><Relationship Id="rId6" Type="http://schemas.openxmlformats.org/officeDocument/2006/relationships/hyperlink" Target="https://ec.europa.eu/eurostat/databrowser/view/gov_10a_main/default/table" TargetMode="External"/><Relationship Id="rId11" Type="http://schemas.openxmlformats.org/officeDocument/2006/relationships/hyperlink" Target="https://www.boe.es/eli/es/c/1978/12/27/(1)/con" TargetMode="External"/><Relationship Id="rId24" Type="http://schemas.openxmlformats.org/officeDocument/2006/relationships/hyperlink" Target="https://siconfi.tesouro.gov.br/siconfi/pages/public/consulta_finbra/finbra_list.jsf" TargetMode="External"/><Relationship Id="rId32" Type="http://schemas.openxmlformats.org/officeDocument/2006/relationships/hyperlink" Target="https://app.powerbi.com/view?r=eyJrIjoiYzA1MGQ5YjEtODY5Zi00MTAzLWJiYzAtYzRmNTkxNjIzMDQ4IiwidCI6ImVjMzU5YmExLTYzMGItNGQyYi1iODMzLWM4ZTZkNDhmODA1OSJ9" TargetMode="External"/><Relationship Id="rId37" Type="http://schemas.openxmlformats.org/officeDocument/2006/relationships/hyperlink" Target="https://www.gov.br/inep/pt-br/areas-de-atuacao/pesquisas-estatisticas-e-indicadores/ideb/resultados" TargetMode="External"/><Relationship Id="rId5" Type="http://schemas.openxmlformats.org/officeDocument/2006/relationships/hyperlink" Target="https://siconfi.tesouro.gov.br/siconfi/pages/public/consulta_finbra/finbra_list.jsf" TargetMode="External"/><Relationship Id="rId15" Type="http://schemas.openxmlformats.org/officeDocument/2006/relationships/hyperlink" Target="https://siconfi.tesouro.gov.br/siconfi/pages/public/consulta_finbra/finbra_list.jsf" TargetMode="External"/><Relationship Id="rId23" Type="http://schemas.openxmlformats.org/officeDocument/2006/relationships/image" Target="media/image1.png"/><Relationship Id="rId28" Type="http://schemas.openxmlformats.org/officeDocument/2006/relationships/hyperlink" Target="https://siconfi.tesouro.gov.br/siconfi/pages/public/consulta_finbra/finbra_list.jsf" TargetMode="External"/><Relationship Id="rId36" Type="http://schemas.openxmlformats.org/officeDocument/2006/relationships/hyperlink" Target="https://sidra.ibge.gov.br/tabela/5938" TargetMode="External"/><Relationship Id="rId10" Type="http://schemas.openxmlformats.org/officeDocument/2006/relationships/hyperlink" Target="https://ec.europa.eu/eurostat/databrowser/view/gov_10a_main/default/table" TargetMode="External"/><Relationship Id="rId19" Type="http://schemas.openxmlformats.org/officeDocument/2006/relationships/chart" Target="charts/chart6.xml"/><Relationship Id="rId31" Type="http://schemas.openxmlformats.org/officeDocument/2006/relationships/hyperlink" Target="https://www.ibge.gov.br/estatisticas/sociais/populacao/9103-estimativas-de-populacao.html"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hyperlink" Target="https://www.gov.br/inep/pt-br/areas-de-atuacao/pesquisas-estatisticas-e-indicadores/ideb/resultados" TargetMode="External"/><Relationship Id="rId27" Type="http://schemas.openxmlformats.org/officeDocument/2006/relationships/hyperlink" Target="file:///C:/Users/Windows%2010/Downloads/mapa_tematico_per_capita_maceio_duquecaxias.html" TargetMode="External"/><Relationship Id="rId30" Type="http://schemas.openxmlformats.org/officeDocument/2006/relationships/hyperlink" Target="https://siconfi.tesouro.gov.br/siconfi/pages/public/consulta_finbra/finbra_list.jsf" TargetMode="External"/><Relationship Id="rId35" Type="http://schemas.openxmlformats.org/officeDocument/2006/relationships/hyperlink" Target="https://www.planalto.gov.br/ccivil_03/leis/lcp/lcp101.htm" TargetMode="External"/><Relationship Id="rId8" Type="http://schemas.openxmlformats.org/officeDocument/2006/relationships/hyperlink" Target="https://www.biblioteca.presidencia.gov.br/publicacoes-oficiais/catalogo/fhc/plano-diretor-da-reforma-do-aparelho-do-estado-1995.pdf" TargetMode="Externa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Windows%2010\Desktop\FACULDADE\5&#186;%20SEMESTRE\FSP\P1%20FSP%20(2).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baseline="0"/>
              <a:t>Espanha: Dinâmica Fiscal em Valores Reais (€ de 2022)</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1"/>
          <c:order val="0"/>
          <c:tx>
            <c:strRef>
              <c:f>ESPANHA!$C$1</c:f>
              <c:strCache>
                <c:ptCount val="1"/>
                <c:pt idx="0">
                  <c:v>RECEITAS CORRENTES - HICP (2022)</c:v>
                </c:pt>
              </c:strCache>
            </c:strRef>
          </c:tx>
          <c:spPr>
            <a:solidFill>
              <a:schemeClr val="accent2"/>
            </a:solidFill>
            <a:ln>
              <a:noFill/>
            </a:ln>
            <a:effectLst/>
          </c:spPr>
          <c:invertIfNegative val="0"/>
          <c:cat>
            <c:numRef>
              <c:f>ESPANHA!$A$2:$A$11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ESPANHA!$C$2:$C$11</c:f>
              <c:numCache>
                <c:formatCode>_-[$€-2]\ * #,##0.00_-;\-[$€-2]\ * #,##0.00_-;_-[$€-2]\ * "-"??_-;_-@_-</c:formatCode>
                <c:ptCount val="10"/>
                <c:pt idx="0">
                  <c:v>458659462800.00006</c:v>
                </c:pt>
                <c:pt idx="1">
                  <c:v>473706713600</c:v>
                </c:pt>
                <c:pt idx="2">
                  <c:v>489105230600</c:v>
                </c:pt>
                <c:pt idx="3">
                  <c:v>491196293500</c:v>
                </c:pt>
                <c:pt idx="4">
                  <c:v>506601813300</c:v>
                </c:pt>
                <c:pt idx="5">
                  <c:v>532148994000</c:v>
                </c:pt>
                <c:pt idx="6">
                  <c:v>546036687199.99994</c:v>
                </c:pt>
                <c:pt idx="7">
                  <c:v>525597685200.00006</c:v>
                </c:pt>
                <c:pt idx="8">
                  <c:v>558208598400</c:v>
                </c:pt>
                <c:pt idx="9">
                  <c:v>574095000000</c:v>
                </c:pt>
              </c:numCache>
            </c:numRef>
          </c:val>
          <c:extLst>
            <c:ext xmlns:c16="http://schemas.microsoft.com/office/drawing/2014/chart" uri="{C3380CC4-5D6E-409C-BE32-E72D297353CC}">
              <c16:uniqueId val="{00000000-E0C6-4334-8A5B-1A976561E21F}"/>
            </c:ext>
          </c:extLst>
        </c:ser>
        <c:ser>
          <c:idx val="2"/>
          <c:order val="1"/>
          <c:tx>
            <c:strRef>
              <c:f>ESPANHA!$E$1</c:f>
              <c:strCache>
                <c:ptCount val="1"/>
                <c:pt idx="0">
                  <c:v>DESPESA TOTAL - HICP (2022)</c:v>
                </c:pt>
              </c:strCache>
            </c:strRef>
          </c:tx>
          <c:spPr>
            <a:solidFill>
              <a:schemeClr val="accent3"/>
            </a:solidFill>
            <a:ln w="15875">
              <a:noFill/>
            </a:ln>
            <a:effectLst/>
          </c:spPr>
          <c:invertIfNegative val="0"/>
          <c:cat>
            <c:numRef>
              <c:f>ESPANHA!$A$2:$A$11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ESPANHA!$E$2:$E$11</c:f>
              <c:numCache>
                <c:formatCode>_-[$€-2]\ * #,##0.00_-;\-[$€-2]\ * #,##0.00_-;_-[$€-2]\ * "-"??_-;_-@_-</c:formatCode>
                <c:ptCount val="10"/>
                <c:pt idx="0">
                  <c:v>547514926000.00006</c:v>
                </c:pt>
                <c:pt idx="1">
                  <c:v>547504964800</c:v>
                </c:pt>
                <c:pt idx="2">
                  <c:v>556133139100</c:v>
                </c:pt>
                <c:pt idx="3">
                  <c:v>546507919200</c:v>
                </c:pt>
                <c:pt idx="4">
                  <c:v>547934338500</c:v>
                </c:pt>
                <c:pt idx="5">
                  <c:v>567341564400</c:v>
                </c:pt>
                <c:pt idx="6">
                  <c:v>588638940400</c:v>
                </c:pt>
                <c:pt idx="7">
                  <c:v>652844681100</c:v>
                </c:pt>
                <c:pt idx="8">
                  <c:v>644978556000</c:v>
                </c:pt>
                <c:pt idx="9">
                  <c:v>637831000000</c:v>
                </c:pt>
              </c:numCache>
            </c:numRef>
          </c:val>
          <c:extLst>
            <c:ext xmlns:c16="http://schemas.microsoft.com/office/drawing/2014/chart" uri="{C3380CC4-5D6E-409C-BE32-E72D297353CC}">
              <c16:uniqueId val="{00000001-E0C6-4334-8A5B-1A976561E21F}"/>
            </c:ext>
          </c:extLst>
        </c:ser>
        <c:ser>
          <c:idx val="3"/>
          <c:order val="2"/>
          <c:tx>
            <c:strRef>
              <c:f>ESPANHA!$H$1</c:f>
              <c:strCache>
                <c:ptCount val="1"/>
                <c:pt idx="0">
                  <c:v>EQUILIBRIO ESTRUTURAL</c:v>
                </c:pt>
              </c:strCache>
            </c:strRef>
          </c:tx>
          <c:spPr>
            <a:solidFill>
              <a:schemeClr val="accent4"/>
            </a:solidFill>
            <a:ln>
              <a:noFill/>
            </a:ln>
            <a:effectLst/>
          </c:spPr>
          <c:invertIfNegative val="0"/>
          <c:cat>
            <c:numRef>
              <c:f>ESPANHA!$A$2:$A$11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ESPANHA!$H$2:$H$11</c:f>
              <c:numCache>
                <c:formatCode>_-[$€-2]\ * #,##0.00_-;\-[$€-2]\ * #,##0.00_-;_-[$€-2]\ * "-"??_-;_-@_-</c:formatCode>
                <c:ptCount val="10"/>
                <c:pt idx="0">
                  <c:v>-19187000000</c:v>
                </c:pt>
                <c:pt idx="1">
                  <c:v>-13331000000</c:v>
                </c:pt>
                <c:pt idx="2">
                  <c:v>-24147000000</c:v>
                </c:pt>
                <c:pt idx="3">
                  <c:v>-28583000000</c:v>
                </c:pt>
                <c:pt idx="4">
                  <c:v>-28020000000</c:v>
                </c:pt>
                <c:pt idx="5">
                  <c:v>-26354000000</c:v>
                </c:pt>
                <c:pt idx="6">
                  <c:v>-37832000000</c:v>
                </c:pt>
                <c:pt idx="7">
                  <c:v>-54937000000</c:v>
                </c:pt>
                <c:pt idx="8">
                  <c:v>-50497000000</c:v>
                </c:pt>
                <c:pt idx="9">
                  <c:v>-60282000000</c:v>
                </c:pt>
              </c:numCache>
            </c:numRef>
          </c:val>
          <c:extLst>
            <c:ext xmlns:c16="http://schemas.microsoft.com/office/drawing/2014/chart" uri="{C3380CC4-5D6E-409C-BE32-E72D297353CC}">
              <c16:uniqueId val="{00000002-E0C6-4334-8A5B-1A976561E21F}"/>
            </c:ext>
          </c:extLst>
        </c:ser>
        <c:dLbls>
          <c:showLegendKey val="0"/>
          <c:showVal val="0"/>
          <c:showCatName val="0"/>
          <c:showSerName val="0"/>
          <c:showPercent val="0"/>
          <c:showBubbleSize val="0"/>
        </c:dLbls>
        <c:gapWidth val="50"/>
        <c:overlap val="-27"/>
        <c:axId val="1368078719"/>
        <c:axId val="1372093551"/>
      </c:barChart>
      <c:catAx>
        <c:axId val="1368078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2093551"/>
        <c:crosses val="autoZero"/>
        <c:auto val="1"/>
        <c:lblAlgn val="ctr"/>
        <c:lblOffset val="100"/>
        <c:noMultiLvlLbl val="0"/>
      </c:catAx>
      <c:valAx>
        <c:axId val="1372093551"/>
        <c:scaling>
          <c:orientation val="minMax"/>
        </c:scaling>
        <c:delete val="0"/>
        <c:axPos val="l"/>
        <c:majorGridlines>
          <c:spPr>
            <a:ln w="9525" cap="flat" cmpd="sng" algn="ctr">
              <a:solidFill>
                <a:schemeClr val="tx1">
                  <a:lumMod val="15000"/>
                  <a:lumOff val="85000"/>
                </a:schemeClr>
              </a:solidFill>
              <a:round/>
            </a:ln>
            <a:effectLst/>
          </c:spPr>
        </c:majorGridlines>
        <c:numFmt formatCode="_-[$€-2]\ * #,##0.00_-;\-[$€-2]\ * #,##0.00_-;_-[$€-2]\ *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8078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baseline="0"/>
              <a:t>Maceió: Composição das Receitas Correntes em Valores Reais (R$ de 2022)</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stacked"/>
        <c:varyColors val="0"/>
        <c:ser>
          <c:idx val="1"/>
          <c:order val="0"/>
          <c:tx>
            <c:strRef>
              <c:f>MACEIÓ!$E$1</c:f>
              <c:strCache>
                <c:ptCount val="1"/>
                <c:pt idx="0">
                  <c:v>RECEITA TRIBUTÁRIA - IPCA (2022)</c:v>
                </c:pt>
              </c:strCache>
            </c:strRef>
          </c:tx>
          <c:spPr>
            <a:solidFill>
              <a:schemeClr val="accent2"/>
            </a:solidFill>
            <a:ln>
              <a:noFill/>
            </a:ln>
            <a:effectLst/>
          </c:spPr>
          <c:invertIfNegative val="0"/>
          <c:cat>
            <c:numRef>
              <c:f>MACEIÓ!$A$2:$A$11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MACEIÓ!$E$2:$E$11</c:f>
              <c:numCache>
                <c:formatCode>_("R$"* #,##0.00_);_("R$"* \(#,##0.00\);_("R$"* "-"??_);_(@_)</c:formatCode>
                <c:ptCount val="10"/>
                <c:pt idx="0">
                  <c:v>584201463.82702374</c:v>
                </c:pt>
                <c:pt idx="1">
                  <c:v>635369485.87949622</c:v>
                </c:pt>
                <c:pt idx="2">
                  <c:v>621219362.04331279</c:v>
                </c:pt>
                <c:pt idx="3">
                  <c:v>576450222.38565624</c:v>
                </c:pt>
                <c:pt idx="4">
                  <c:v>617157160.70100188</c:v>
                </c:pt>
                <c:pt idx="5">
                  <c:v>689345152.20287728</c:v>
                </c:pt>
                <c:pt idx="6">
                  <c:v>702795554.49933195</c:v>
                </c:pt>
                <c:pt idx="7">
                  <c:v>748407400.25861013</c:v>
                </c:pt>
                <c:pt idx="8">
                  <c:v>830489007.18657756</c:v>
                </c:pt>
                <c:pt idx="9">
                  <c:v>945034303.04580009</c:v>
                </c:pt>
              </c:numCache>
            </c:numRef>
          </c:val>
          <c:extLst>
            <c:ext xmlns:c16="http://schemas.microsoft.com/office/drawing/2014/chart" uri="{C3380CC4-5D6E-409C-BE32-E72D297353CC}">
              <c16:uniqueId val="{00000000-7FB3-41B9-9916-58FC1BAF5C5F}"/>
            </c:ext>
          </c:extLst>
        </c:ser>
        <c:ser>
          <c:idx val="2"/>
          <c:order val="1"/>
          <c:tx>
            <c:strRef>
              <c:f>MACEIÓ!$G$1</c:f>
              <c:strCache>
                <c:ptCount val="1"/>
                <c:pt idx="0">
                  <c:v>TRANSFERÊNCIAS CORRENTES - IPCA (2022)</c:v>
                </c:pt>
              </c:strCache>
            </c:strRef>
          </c:tx>
          <c:spPr>
            <a:solidFill>
              <a:schemeClr val="accent3"/>
            </a:solidFill>
            <a:ln>
              <a:noFill/>
            </a:ln>
            <a:effectLst/>
          </c:spPr>
          <c:invertIfNegative val="0"/>
          <c:cat>
            <c:numRef>
              <c:f>MACEIÓ!$A$2:$A$11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MACEIÓ!$G$2:$G$11</c:f>
              <c:numCache>
                <c:formatCode>_("R$"* #,##0.00_);_("R$"* \(#,##0.00\);_("R$"* "-"??_);_(@_)</c:formatCode>
                <c:ptCount val="10"/>
                <c:pt idx="0">
                  <c:v>1859997457.215163</c:v>
                </c:pt>
                <c:pt idx="1">
                  <c:v>1943193883.4664977</c:v>
                </c:pt>
                <c:pt idx="2">
                  <c:v>1856819645.8200698</c:v>
                </c:pt>
                <c:pt idx="3">
                  <c:v>1894555578.8555512</c:v>
                </c:pt>
                <c:pt idx="4">
                  <c:v>1837860608.6025727</c:v>
                </c:pt>
                <c:pt idx="5">
                  <c:v>1685463813.5236685</c:v>
                </c:pt>
                <c:pt idx="6">
                  <c:v>1967049967.4013288</c:v>
                </c:pt>
                <c:pt idx="7">
                  <c:v>2381791383.5244999</c:v>
                </c:pt>
                <c:pt idx="8">
                  <c:v>2039400304.2316506</c:v>
                </c:pt>
                <c:pt idx="9">
                  <c:v>2127899555.3156002</c:v>
                </c:pt>
              </c:numCache>
            </c:numRef>
          </c:val>
          <c:extLst>
            <c:ext xmlns:c16="http://schemas.microsoft.com/office/drawing/2014/chart" uri="{C3380CC4-5D6E-409C-BE32-E72D297353CC}">
              <c16:uniqueId val="{00000001-7FB3-41B9-9916-58FC1BAF5C5F}"/>
            </c:ext>
          </c:extLst>
        </c:ser>
        <c:ser>
          <c:idx val="3"/>
          <c:order val="2"/>
          <c:tx>
            <c:strRef>
              <c:f>MACEIÓ!$P$1</c:f>
              <c:strCache>
                <c:ptCount val="1"/>
                <c:pt idx="0">
                  <c:v>DEMAIS RECEITAS</c:v>
                </c:pt>
              </c:strCache>
            </c:strRef>
          </c:tx>
          <c:spPr>
            <a:solidFill>
              <a:schemeClr val="accent4"/>
            </a:solidFill>
            <a:ln>
              <a:noFill/>
            </a:ln>
            <a:effectLst/>
          </c:spPr>
          <c:invertIfNegative val="0"/>
          <c:cat>
            <c:numRef>
              <c:f>MACEIÓ!$A$2:$A$11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MACEIÓ!$P$2:$P$11</c:f>
              <c:numCache>
                <c:formatCode>_("R$"* #,##0.00_);_("R$"* \(#,##0.00\);_("R$"* "-"??_);_(@_)</c:formatCode>
                <c:ptCount val="10"/>
                <c:pt idx="0">
                  <c:v>262713268.18999434</c:v>
                </c:pt>
                <c:pt idx="1">
                  <c:v>336404114.23045564</c:v>
                </c:pt>
                <c:pt idx="2">
                  <c:v>360652288.44468927</c:v>
                </c:pt>
                <c:pt idx="3">
                  <c:v>351038655.01347589</c:v>
                </c:pt>
                <c:pt idx="4">
                  <c:v>312537099.00467849</c:v>
                </c:pt>
                <c:pt idx="5">
                  <c:v>287928063.81105804</c:v>
                </c:pt>
                <c:pt idx="6">
                  <c:v>330433612.01019073</c:v>
                </c:pt>
                <c:pt idx="7">
                  <c:v>310600767.58218908</c:v>
                </c:pt>
                <c:pt idx="8">
                  <c:v>311120233.50949168</c:v>
                </c:pt>
                <c:pt idx="9">
                  <c:v>486141795.94199967</c:v>
                </c:pt>
              </c:numCache>
            </c:numRef>
          </c:val>
          <c:extLst>
            <c:ext xmlns:c16="http://schemas.microsoft.com/office/drawing/2014/chart" uri="{C3380CC4-5D6E-409C-BE32-E72D297353CC}">
              <c16:uniqueId val="{00000002-7FB3-41B9-9916-58FC1BAF5C5F}"/>
            </c:ext>
          </c:extLst>
        </c:ser>
        <c:dLbls>
          <c:showLegendKey val="0"/>
          <c:showVal val="0"/>
          <c:showCatName val="0"/>
          <c:showSerName val="0"/>
          <c:showPercent val="0"/>
          <c:showBubbleSize val="0"/>
        </c:dLbls>
        <c:gapWidth val="50"/>
        <c:overlap val="100"/>
        <c:axId val="1372096879"/>
        <c:axId val="1372091887"/>
      </c:barChart>
      <c:catAx>
        <c:axId val="1372096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2091887"/>
        <c:crosses val="autoZero"/>
        <c:auto val="1"/>
        <c:lblAlgn val="ctr"/>
        <c:lblOffset val="100"/>
        <c:noMultiLvlLbl val="0"/>
      </c:catAx>
      <c:valAx>
        <c:axId val="1372091887"/>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2096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baseline="0"/>
              <a:t>Duque de Caxias: Composição das Receitas Correntes em Valores Reais (R$ de 2022)</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stacked"/>
        <c:varyColors val="0"/>
        <c:ser>
          <c:idx val="1"/>
          <c:order val="0"/>
          <c:tx>
            <c:strRef>
              <c:f>'DUQUE DE CAXIAS'!$C$1</c:f>
              <c:strCache>
                <c:ptCount val="1"/>
                <c:pt idx="0">
                  <c:v>RECEITAS CORRENTES - IPCA (2022)</c:v>
                </c:pt>
              </c:strCache>
            </c:strRef>
          </c:tx>
          <c:spPr>
            <a:solidFill>
              <a:schemeClr val="accent2"/>
            </a:solidFill>
            <a:ln>
              <a:noFill/>
            </a:ln>
            <a:effectLst/>
          </c:spPr>
          <c:invertIfNegative val="0"/>
          <c:cat>
            <c:numRef>
              <c:f>'DUQUE DE CAXIAS'!$A$2:$A$11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'DUQUE DE CAXIAS'!$C$2:$C$11</c:f>
              <c:numCache>
                <c:formatCode>_("R$"* #,##0.00_);_("R$"* \(#,##0.00\);_("R$"* "-"??_);_(@_)</c:formatCode>
                <c:ptCount val="10"/>
                <c:pt idx="0">
                  <c:v>3177757599.183239</c:v>
                </c:pt>
                <c:pt idx="1">
                  <c:v>0</c:v>
                </c:pt>
                <c:pt idx="2">
                  <c:v>3220441562.3967052</c:v>
                </c:pt>
                <c:pt idx="3">
                  <c:v>2881000385.3447723</c:v>
                </c:pt>
                <c:pt idx="4">
                  <c:v>2799000217.6254568</c:v>
                </c:pt>
                <c:pt idx="5">
                  <c:v>3227198006.0558581</c:v>
                </c:pt>
                <c:pt idx="6">
                  <c:v>3307054101.0656247</c:v>
                </c:pt>
                <c:pt idx="7">
                  <c:v>3500218397.3452373</c:v>
                </c:pt>
                <c:pt idx="8">
                  <c:v>4558572128.0876732</c:v>
                </c:pt>
                <c:pt idx="9">
                  <c:v>3934479371.9212084</c:v>
                </c:pt>
              </c:numCache>
            </c:numRef>
          </c:val>
          <c:extLst>
            <c:ext xmlns:c16="http://schemas.microsoft.com/office/drawing/2014/chart" uri="{C3380CC4-5D6E-409C-BE32-E72D297353CC}">
              <c16:uniqueId val="{00000000-E151-42F2-9D6E-AF35E645D37E}"/>
            </c:ext>
          </c:extLst>
        </c:ser>
        <c:ser>
          <c:idx val="2"/>
          <c:order val="1"/>
          <c:tx>
            <c:strRef>
              <c:f>'DUQUE DE CAXIAS'!$E$1</c:f>
              <c:strCache>
                <c:ptCount val="1"/>
                <c:pt idx="0">
                  <c:v>RECEITA TRIBUTÁRIA - IPCA (2022)</c:v>
                </c:pt>
              </c:strCache>
            </c:strRef>
          </c:tx>
          <c:spPr>
            <a:solidFill>
              <a:schemeClr val="accent3"/>
            </a:solidFill>
            <a:ln>
              <a:noFill/>
            </a:ln>
            <a:effectLst/>
          </c:spPr>
          <c:invertIfNegative val="0"/>
          <c:cat>
            <c:numRef>
              <c:f>'DUQUE DE CAXIAS'!$A$2:$A$11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'DUQUE DE CAXIAS'!$E$2:$E$11</c:f>
              <c:numCache>
                <c:formatCode>_("R$"* #,##0.00_);_("R$"* \(#,##0.00\);_("R$"* "-"??_);_(@_)</c:formatCode>
                <c:ptCount val="10"/>
                <c:pt idx="0">
                  <c:v>704176487.14493585</c:v>
                </c:pt>
                <c:pt idx="1">
                  <c:v>730078531.08557129</c:v>
                </c:pt>
                <c:pt idx="2">
                  <c:v>753418620.87886989</c:v>
                </c:pt>
                <c:pt idx="3">
                  <c:v>641911823.05649126</c:v>
                </c:pt>
                <c:pt idx="4">
                  <c:v>619991360.49665213</c:v>
                </c:pt>
                <c:pt idx="5">
                  <c:v>688250445.46316767</c:v>
                </c:pt>
                <c:pt idx="6">
                  <c:v>689054877.1016469</c:v>
                </c:pt>
                <c:pt idx="7">
                  <c:v>624091303.71424913</c:v>
                </c:pt>
                <c:pt idx="8">
                  <c:v>821852003.80084336</c:v>
                </c:pt>
                <c:pt idx="9">
                  <c:v>773807414.88855207</c:v>
                </c:pt>
              </c:numCache>
            </c:numRef>
          </c:val>
          <c:extLst>
            <c:ext xmlns:c16="http://schemas.microsoft.com/office/drawing/2014/chart" uri="{C3380CC4-5D6E-409C-BE32-E72D297353CC}">
              <c16:uniqueId val="{00000001-E151-42F2-9D6E-AF35E645D37E}"/>
            </c:ext>
          </c:extLst>
        </c:ser>
        <c:ser>
          <c:idx val="3"/>
          <c:order val="2"/>
          <c:tx>
            <c:strRef>
              <c:f>'DUQUE DE CAXIAS'!$P$1</c:f>
              <c:strCache>
                <c:ptCount val="1"/>
                <c:pt idx="0">
                  <c:v>DEMAIS RECEITAS</c:v>
                </c:pt>
              </c:strCache>
            </c:strRef>
          </c:tx>
          <c:spPr>
            <a:solidFill>
              <a:schemeClr val="accent4"/>
            </a:solidFill>
            <a:ln>
              <a:noFill/>
            </a:ln>
            <a:effectLst/>
          </c:spPr>
          <c:invertIfNegative val="0"/>
          <c:cat>
            <c:numRef>
              <c:f>'DUQUE DE CAXIAS'!$A$2:$A$11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'DUQUE DE CAXIAS'!$P$2:$P$11</c:f>
              <c:numCache>
                <c:formatCode>_("R$"* #,##0.00_);_("R$"* \(#,##0.00\);_("R$"* "-"??_);_(@_)</c:formatCode>
                <c:ptCount val="10"/>
                <c:pt idx="0">
                  <c:v>254347997.4358654</c:v>
                </c:pt>
                <c:pt idx="1">
                  <c:v>0</c:v>
                </c:pt>
                <c:pt idx="2">
                  <c:v>340894075.95659995</c:v>
                </c:pt>
                <c:pt idx="3">
                  <c:v>326113639.03096557</c:v>
                </c:pt>
                <c:pt idx="4">
                  <c:v>268918940.73678064</c:v>
                </c:pt>
                <c:pt idx="5">
                  <c:v>215771571.94938421</c:v>
                </c:pt>
                <c:pt idx="6">
                  <c:v>241357446.0498805</c:v>
                </c:pt>
                <c:pt idx="7">
                  <c:v>211932674.10528278</c:v>
                </c:pt>
                <c:pt idx="8">
                  <c:v>318196535.68871355</c:v>
                </c:pt>
                <c:pt idx="9">
                  <c:v>235711403.90325022</c:v>
                </c:pt>
              </c:numCache>
            </c:numRef>
          </c:val>
          <c:extLst>
            <c:ext xmlns:c16="http://schemas.microsoft.com/office/drawing/2014/chart" uri="{C3380CC4-5D6E-409C-BE32-E72D297353CC}">
              <c16:uniqueId val="{00000002-E151-42F2-9D6E-AF35E645D37E}"/>
            </c:ext>
          </c:extLst>
        </c:ser>
        <c:dLbls>
          <c:showLegendKey val="0"/>
          <c:showVal val="0"/>
          <c:showCatName val="0"/>
          <c:showSerName val="0"/>
          <c:showPercent val="0"/>
          <c:showBubbleSize val="0"/>
        </c:dLbls>
        <c:gapWidth val="50"/>
        <c:overlap val="100"/>
        <c:axId val="1366250063"/>
        <c:axId val="1366248815"/>
      </c:barChart>
      <c:catAx>
        <c:axId val="136625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6248815"/>
        <c:crosses val="autoZero"/>
        <c:auto val="1"/>
        <c:lblAlgn val="ctr"/>
        <c:lblOffset val="100"/>
        <c:noMultiLvlLbl val="0"/>
      </c:catAx>
      <c:valAx>
        <c:axId val="136624881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6250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baseline="0"/>
              <a:t>Maceió: Receitas Correntes e Despesa Total em Valores Reais (R$ de 2022)</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1"/>
          <c:order val="0"/>
          <c:tx>
            <c:strRef>
              <c:f>MACEIÓ!$C$1</c:f>
              <c:strCache>
                <c:ptCount val="1"/>
                <c:pt idx="0">
                  <c:v>RECEITAS CORRENTES - IPCA (2022)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MACEIÓ!$A$2:$A$11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MACEIÓ!$C$2:$C$11</c:f>
              <c:numCache>
                <c:formatCode>_("R$"* #,##0.00_);_("R$"* \(#,##0.00\);_("R$"* "-"??_);_(@_)</c:formatCode>
                <c:ptCount val="10"/>
                <c:pt idx="0">
                  <c:v>2706912189.2321811</c:v>
                </c:pt>
                <c:pt idx="1">
                  <c:v>2914967483.5764494</c:v>
                </c:pt>
                <c:pt idx="2">
                  <c:v>2838691296.3080716</c:v>
                </c:pt>
                <c:pt idx="3">
                  <c:v>2822044456.2546835</c:v>
                </c:pt>
                <c:pt idx="4">
                  <c:v>2767554868.3082533</c:v>
                </c:pt>
                <c:pt idx="5">
                  <c:v>2662737029.5376039</c:v>
                </c:pt>
                <c:pt idx="6">
                  <c:v>3000279133.9108515</c:v>
                </c:pt>
                <c:pt idx="7">
                  <c:v>3440799551.3652992</c:v>
                </c:pt>
                <c:pt idx="8">
                  <c:v>3181009544.9277196</c:v>
                </c:pt>
                <c:pt idx="9">
                  <c:v>3559075654.3034</c:v>
                </c:pt>
              </c:numCache>
            </c:numRef>
          </c:val>
          <c:smooth val="0"/>
          <c:extLst>
            <c:ext xmlns:c16="http://schemas.microsoft.com/office/drawing/2014/chart" uri="{C3380CC4-5D6E-409C-BE32-E72D297353CC}">
              <c16:uniqueId val="{00000000-3FB2-4AAD-946E-091A19D66ED7}"/>
            </c:ext>
          </c:extLst>
        </c:ser>
        <c:ser>
          <c:idx val="2"/>
          <c:order val="1"/>
          <c:tx>
            <c:strRef>
              <c:f>MACEIÓ!$I$1</c:f>
              <c:strCache>
                <c:ptCount val="1"/>
                <c:pt idx="0">
                  <c:v>DESPESA TOTAL - IPCA (2022)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MACEIÓ!$A$2:$A$11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MACEIÓ!$I$2:$I$11</c:f>
              <c:numCache>
                <c:formatCode>_("R$"* #,##0.00_);_("R$"* \(#,##0.00\);_("R$"* "-"??_);_(@_)</c:formatCode>
                <c:ptCount val="10"/>
                <c:pt idx="0">
                  <c:v>2673781589.5241709</c:v>
                </c:pt>
                <c:pt idx="1">
                  <c:v>2809837172.1951203</c:v>
                </c:pt>
                <c:pt idx="2">
                  <c:v>2637914075.752646</c:v>
                </c:pt>
                <c:pt idx="3">
                  <c:v>2507104150.4134526</c:v>
                </c:pt>
                <c:pt idx="4">
                  <c:v>2484442961.9047217</c:v>
                </c:pt>
                <c:pt idx="5">
                  <c:v>2934633943.5857716</c:v>
                </c:pt>
                <c:pt idx="6">
                  <c:v>2717960502.7261248</c:v>
                </c:pt>
                <c:pt idx="7">
                  <c:v>2762415649.0729508</c:v>
                </c:pt>
                <c:pt idx="8">
                  <c:v>2626251373.5250983</c:v>
                </c:pt>
                <c:pt idx="9">
                  <c:v>3212089257.5398002</c:v>
                </c:pt>
              </c:numCache>
            </c:numRef>
          </c:val>
          <c:smooth val="0"/>
          <c:extLst>
            <c:ext xmlns:c16="http://schemas.microsoft.com/office/drawing/2014/chart" uri="{C3380CC4-5D6E-409C-BE32-E72D297353CC}">
              <c16:uniqueId val="{00000001-3FB2-4AAD-946E-091A19D66ED7}"/>
            </c:ext>
          </c:extLst>
        </c:ser>
        <c:dLbls>
          <c:showLegendKey val="0"/>
          <c:showVal val="0"/>
          <c:showCatName val="0"/>
          <c:showSerName val="0"/>
          <c:showPercent val="0"/>
          <c:showBubbleSize val="0"/>
        </c:dLbls>
        <c:marker val="1"/>
        <c:smooth val="0"/>
        <c:axId val="1372090223"/>
        <c:axId val="1372093135"/>
      </c:lineChart>
      <c:catAx>
        <c:axId val="1372090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2093135"/>
        <c:crosses val="autoZero"/>
        <c:auto val="1"/>
        <c:lblAlgn val="ctr"/>
        <c:lblOffset val="100"/>
        <c:noMultiLvlLbl val="0"/>
      </c:catAx>
      <c:valAx>
        <c:axId val="137209313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2090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baseline="0"/>
              <a:t>Duque de Caxias: Receitas Correntes e Despesa Total em Valores Reais (R$ de 2022)</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1"/>
          <c:order val="0"/>
          <c:tx>
            <c:strRef>
              <c:f>'DUQUE DE CAXIAS'!$C$1</c:f>
              <c:strCache>
                <c:ptCount val="1"/>
                <c:pt idx="0">
                  <c:v>RECEITAS CORRENTES - IPCA (2022)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'DUQUE DE CAXIAS'!$A$2:$A$11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'DUQUE DE CAXIAS'!$C$2:$C$11</c:f>
              <c:numCache>
                <c:formatCode>_("R$"* #,##0.00_);_("R$"* \(#,##0.00\);_("R$"* "-"??_);_(@_)</c:formatCode>
                <c:ptCount val="10"/>
                <c:pt idx="0">
                  <c:v>3177757599.183239</c:v>
                </c:pt>
                <c:pt idx="1">
                  <c:v>0</c:v>
                </c:pt>
                <c:pt idx="2">
                  <c:v>3220441562.3967052</c:v>
                </c:pt>
                <c:pt idx="3">
                  <c:v>2881000385.3447723</c:v>
                </c:pt>
                <c:pt idx="4">
                  <c:v>2799000217.6254568</c:v>
                </c:pt>
                <c:pt idx="5">
                  <c:v>3227198006.0558581</c:v>
                </c:pt>
                <c:pt idx="6">
                  <c:v>3307054101.0656247</c:v>
                </c:pt>
                <c:pt idx="7">
                  <c:v>3500218397.3452373</c:v>
                </c:pt>
                <c:pt idx="8">
                  <c:v>4558572128.0876732</c:v>
                </c:pt>
                <c:pt idx="9">
                  <c:v>3934479371.9212084</c:v>
                </c:pt>
              </c:numCache>
            </c:numRef>
          </c:val>
          <c:smooth val="0"/>
          <c:extLst>
            <c:ext xmlns:c16="http://schemas.microsoft.com/office/drawing/2014/chart" uri="{C3380CC4-5D6E-409C-BE32-E72D297353CC}">
              <c16:uniqueId val="{00000000-B970-4D61-A7B9-0E8706D34AA7}"/>
            </c:ext>
          </c:extLst>
        </c:ser>
        <c:ser>
          <c:idx val="2"/>
          <c:order val="1"/>
          <c:tx>
            <c:strRef>
              <c:f>'DUQUE DE CAXIAS'!$I$1</c:f>
              <c:strCache>
                <c:ptCount val="1"/>
                <c:pt idx="0">
                  <c:v>DESPESA TOTAL - IPCA (2022)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'DUQUE DE CAXIAS'!$A$2:$A$11</c:f>
              <c:numCache>
                <c:formatCode>General</c:formatCode>
                <c:ptCount val="10"/>
                <c:pt idx="0">
                  <c:v>2013</c:v>
                </c:pt>
                <c:pt idx="1">
                  <c:v>2014</c:v>
                </c:pt>
                <c:pt idx="2">
                  <c:v>2015</c:v>
                </c:pt>
                <c:pt idx="3">
                  <c:v>2016</c:v>
                </c:pt>
                <c:pt idx="4">
                  <c:v>2017</c:v>
                </c:pt>
                <c:pt idx="5">
                  <c:v>2018</c:v>
                </c:pt>
                <c:pt idx="6">
                  <c:v>2019</c:v>
                </c:pt>
                <c:pt idx="7">
                  <c:v>2020</c:v>
                </c:pt>
                <c:pt idx="8">
                  <c:v>2021</c:v>
                </c:pt>
                <c:pt idx="9">
                  <c:v>2022</c:v>
                </c:pt>
              </c:numCache>
            </c:numRef>
          </c:cat>
          <c:val>
            <c:numRef>
              <c:f>'DUQUE DE CAXIAS'!$I$2:$I$11</c:f>
              <c:numCache>
                <c:formatCode>_("R$"* #,##0.00_);_("R$"* \(#,##0.00\);_("R$"* "-"??_);_(@_)</c:formatCode>
                <c:ptCount val="10"/>
                <c:pt idx="0">
                  <c:v>2946694515.0487304</c:v>
                </c:pt>
                <c:pt idx="1">
                  <c:v>3159193208.9126024</c:v>
                </c:pt>
                <c:pt idx="2">
                  <c:v>3368396676.0440993</c:v>
                </c:pt>
                <c:pt idx="3">
                  <c:v>3095822477.4008794</c:v>
                </c:pt>
                <c:pt idx="4">
                  <c:v>2841648483.3923802</c:v>
                </c:pt>
                <c:pt idx="5">
                  <c:v>2897243778.1587334</c:v>
                </c:pt>
                <c:pt idx="6">
                  <c:v>3043537679.6388035</c:v>
                </c:pt>
                <c:pt idx="7">
                  <c:v>3287770594.8308725</c:v>
                </c:pt>
                <c:pt idx="8">
                  <c:v>3621693661.6581984</c:v>
                </c:pt>
                <c:pt idx="9">
                  <c:v>4071594355.7054262</c:v>
                </c:pt>
              </c:numCache>
            </c:numRef>
          </c:val>
          <c:smooth val="0"/>
          <c:extLst>
            <c:ext xmlns:c16="http://schemas.microsoft.com/office/drawing/2014/chart" uri="{C3380CC4-5D6E-409C-BE32-E72D297353CC}">
              <c16:uniqueId val="{00000001-B970-4D61-A7B9-0E8706D34AA7}"/>
            </c:ext>
          </c:extLst>
        </c:ser>
        <c:dLbls>
          <c:showLegendKey val="0"/>
          <c:showVal val="0"/>
          <c:showCatName val="0"/>
          <c:showSerName val="0"/>
          <c:showPercent val="0"/>
          <c:showBubbleSize val="0"/>
        </c:dLbls>
        <c:marker val="1"/>
        <c:smooth val="0"/>
        <c:axId val="1368074559"/>
        <c:axId val="1368064575"/>
      </c:lineChart>
      <c:catAx>
        <c:axId val="1368074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8064575"/>
        <c:crosses val="autoZero"/>
        <c:auto val="1"/>
        <c:lblAlgn val="ctr"/>
        <c:lblOffset val="100"/>
        <c:noMultiLvlLbl val="0"/>
      </c:catAx>
      <c:valAx>
        <c:axId val="136806457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80745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Maceió: Gasto com Educação x IDEB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scatterChart>
        <c:scatterStyle val="lineMarker"/>
        <c:varyColors val="0"/>
        <c:ser>
          <c:idx val="0"/>
          <c:order val="0"/>
          <c:tx>
            <c:strRef>
              <c:f>'Questão 5'!$C$2</c:f>
              <c:strCache>
                <c:ptCount val="1"/>
                <c:pt idx="0">
                  <c:v>IDEB</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2782195975503063"/>
                  <c:y val="-6.1245261009040534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1E-08x - 0,203</a:t>
                    </a:r>
                    <a:br>
                      <a:rPr lang="en-US" baseline="0"/>
                    </a:br>
                    <a:r>
                      <a:rPr lang="en-US" baseline="0"/>
                      <a:t>R² = 0,078</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trendlineLbl>
          </c:trendline>
          <c:xVal>
            <c:numRef>
              <c:f>'Questão 5'!$B$3:$B$7</c:f>
              <c:numCache>
                <c:formatCode>_("R$"* #,##0.00_);_("R$"* \(#,##0.00\);_("R$"* "-"??_);_(@_)</c:formatCode>
                <c:ptCount val="5"/>
                <c:pt idx="0">
                  <c:v>365646539.66000003</c:v>
                </c:pt>
                <c:pt idx="1">
                  <c:v>406630736.13</c:v>
                </c:pt>
                <c:pt idx="2">
                  <c:v>410444804.08999997</c:v>
                </c:pt>
                <c:pt idx="3">
                  <c:v>402228510.5</c:v>
                </c:pt>
                <c:pt idx="4">
                  <c:v>427916351.79000002</c:v>
                </c:pt>
              </c:numCache>
            </c:numRef>
          </c:xVal>
          <c:yVal>
            <c:numRef>
              <c:f>'Questão 5'!$C$3:$C$7</c:f>
              <c:numCache>
                <c:formatCode>General</c:formatCode>
                <c:ptCount val="5"/>
                <c:pt idx="0">
                  <c:v>4.0999999999999996</c:v>
                </c:pt>
                <c:pt idx="1">
                  <c:v>4.4000000000000004</c:v>
                </c:pt>
                <c:pt idx="2">
                  <c:v>5</c:v>
                </c:pt>
                <c:pt idx="3">
                  <c:v>5.4</c:v>
                </c:pt>
                <c:pt idx="4">
                  <c:v>4.8</c:v>
                </c:pt>
              </c:numCache>
            </c:numRef>
          </c:yVal>
          <c:smooth val="0"/>
          <c:extLst>
            <c:ext xmlns:c16="http://schemas.microsoft.com/office/drawing/2014/chart" uri="{C3380CC4-5D6E-409C-BE32-E72D297353CC}">
              <c16:uniqueId val="{00000003-365A-49C3-BDD5-A97DE3EFEAE0}"/>
            </c:ext>
          </c:extLst>
        </c:ser>
        <c:dLbls>
          <c:showLegendKey val="0"/>
          <c:showVal val="0"/>
          <c:showCatName val="0"/>
          <c:showSerName val="0"/>
          <c:showPercent val="0"/>
          <c:showBubbleSize val="0"/>
        </c:dLbls>
        <c:axId val="1622951679"/>
        <c:axId val="1622953343"/>
      </c:scatterChart>
      <c:valAx>
        <c:axId val="1622951679"/>
        <c:scaling>
          <c:orientation val="minMax"/>
        </c:scaling>
        <c:delete val="0"/>
        <c:axPos val="b"/>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22953343"/>
        <c:crosses val="autoZero"/>
        <c:crossBetween val="midCat"/>
      </c:valAx>
      <c:valAx>
        <c:axId val="1622953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229516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Duque</a:t>
            </a:r>
            <a:r>
              <a:rPr lang="en-US" baseline="0"/>
              <a:t> de Caxias: Gasto com Educação x IDEB</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scatterChart>
        <c:scatterStyle val="lineMarker"/>
        <c:varyColors val="0"/>
        <c:ser>
          <c:idx val="0"/>
          <c:order val="0"/>
          <c:tx>
            <c:strRef>
              <c:f>'Questão 5'!$M$2</c:f>
              <c:strCache>
                <c:ptCount val="1"/>
                <c:pt idx="0">
                  <c:v>IDEB</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layout>
                <c:manualLayout>
                  <c:x val="-8.6932195975503057E-2"/>
                  <c:y val="-1.841389617964425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trendlineLbl>
          </c:trendline>
          <c:trendline>
            <c:spPr>
              <a:ln w="19050" cap="rnd">
                <a:solidFill>
                  <a:schemeClr val="accent1"/>
                </a:solidFill>
                <a:prstDash val="sysDot"/>
              </a:ln>
              <a:effectLst/>
            </c:spPr>
            <c:trendlineType val="linear"/>
            <c:dispRSqr val="0"/>
            <c:dispEq val="1"/>
            <c:trendlineLbl>
              <c:layout>
                <c:manualLayout>
                  <c:x val="-3.2918416447944007E-2"/>
                  <c:y val="6.0289807524059491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trendlineLbl>
          </c:trendline>
          <c:xVal>
            <c:numRef>
              <c:f>'Questão 5'!$L$3:$L$7</c:f>
              <c:numCache>
                <c:formatCode>_("R$"* #,##0.00_);_("R$"* \(#,##0.00\);_("R$"* "-"??_);_(@_)</c:formatCode>
                <c:ptCount val="5"/>
                <c:pt idx="0">
                  <c:v>966523978.99000001</c:v>
                </c:pt>
                <c:pt idx="1">
                  <c:v>1060942548.74</c:v>
                </c:pt>
                <c:pt idx="2">
                  <c:v>892821788.69000006</c:v>
                </c:pt>
                <c:pt idx="3">
                  <c:v>937299647.54999995</c:v>
                </c:pt>
                <c:pt idx="4">
                  <c:v>718978168.13999999</c:v>
                </c:pt>
              </c:numCache>
            </c:numRef>
          </c:xVal>
          <c:yVal>
            <c:numRef>
              <c:f>'Questão 5'!$M$3:$M$7</c:f>
              <c:numCache>
                <c:formatCode>General</c:formatCode>
                <c:ptCount val="5"/>
                <c:pt idx="0">
                  <c:v>4.4000000000000004</c:v>
                </c:pt>
                <c:pt idx="1">
                  <c:v>4.5</c:v>
                </c:pt>
                <c:pt idx="2">
                  <c:v>4.5999999999999996</c:v>
                </c:pt>
                <c:pt idx="3">
                  <c:v>4.7</c:v>
                </c:pt>
                <c:pt idx="4">
                  <c:v>4.3</c:v>
                </c:pt>
              </c:numCache>
            </c:numRef>
          </c:yVal>
          <c:smooth val="0"/>
          <c:extLst>
            <c:ext xmlns:c16="http://schemas.microsoft.com/office/drawing/2014/chart" uri="{C3380CC4-5D6E-409C-BE32-E72D297353CC}">
              <c16:uniqueId val="{00000006-5885-490A-9A08-84B4DDF6AF99}"/>
            </c:ext>
          </c:extLst>
        </c:ser>
        <c:dLbls>
          <c:showLegendKey val="0"/>
          <c:showVal val="0"/>
          <c:showCatName val="0"/>
          <c:showSerName val="0"/>
          <c:showPercent val="0"/>
          <c:showBubbleSize val="0"/>
        </c:dLbls>
        <c:axId val="1368078303"/>
        <c:axId val="1562010175"/>
      </c:scatterChart>
      <c:valAx>
        <c:axId val="1368078303"/>
        <c:scaling>
          <c:orientation val="minMax"/>
        </c:scaling>
        <c:delete val="0"/>
        <c:axPos val="b"/>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2010175"/>
        <c:crosses val="autoZero"/>
        <c:crossBetween val="midCat"/>
      </c:valAx>
      <c:valAx>
        <c:axId val="1562010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80783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3032</TotalTime>
  <Pages>21</Pages>
  <Words>7865</Words>
  <Characters>42473</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Caua Victor Araújo Pimentel</dc:creator>
  <cp:keywords/>
  <dc:description/>
  <cp:lastModifiedBy>Caua Victor Araújo Pimentel</cp:lastModifiedBy>
  <cp:revision>11</cp:revision>
  <cp:lastPrinted>2026-05-09T04:55:00Z</cp:lastPrinted>
  <dcterms:created xsi:type="dcterms:W3CDTF">2026-05-07T02:25:00Z</dcterms:created>
  <dcterms:modified xsi:type="dcterms:W3CDTF">2026-05-09T04:57:00Z</dcterms:modified>
</cp:coreProperties>
</file>