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ACL - Análise: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Website principal da ACL: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site principal da ACL utiliza o WordPress e, através de uma recolha realizada no início de 2026 através da API pública, conseguimos ver que o site tem um total de 254 posts, 2547 ficheiros, dos quais 1908 são imagens, e 8 categorias onde a categoria de NOTÍCIAS tem 245 posts.</w:t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acad-ciencias.pt/wp-admin: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Através do painel de administrador do site foi possível ver que ACL ainda usa a versão php 7.4.33, que já foi descontinuada há alguns anos. Neste momento, a versão mais recente é a 8.x que apresenta ganhos consideráveis a nível de performance. Alguns benchmarks analisados dizem que tem um ganho de entre 20% e 40% de execução, e até 17% lower memory usage. Esta deve ser uma das razões principais de o site estar muito lento. Além disso, uma vez que esta versão do php já não recebe atualizações de segurança, o site pode estar vulnerável.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“No wordpress: WordPress 6.x requests/sec- PHP 7.4 ( 85 ) , PHP 8.3 118 (+39%).“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https://massivegrid.com/blog/php-8-performance-hosting-upgrade/</w:t>
        </w:r>
      </w:hyperlink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Dos 27 plugins ativos, 21 estão desatualizados.</w:t>
      </w:r>
    </w:p>
    <w:p w:rsidR="00000000" w:rsidDel="00000000" w:rsidP="00000000" w:rsidRDefault="00000000" w:rsidRPr="00000000" w14:paraId="0000000C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color w:val="1f1f1f"/>
          <w:rtl w:val="0"/>
        </w:rPr>
        <w:t xml:space="preserve">O sistema de backups é assegurado pelo plugin All-in-One WP Migration, com a última atualização registada a 5 de maio de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Arquivo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arquivo utiliza o software Archeevo, especializado para gestão arquivista (produto da empresa Keep Solutions).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Estão publicados 5275 registos (à data de 8/5/2026), com indicação do “Nível de Descrição” (coleção, um fundo, uma série…), se há ou não objetos digitais associados, e o “Idioma e Escrita” (apenas 3783 registos têm esta classificação).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Existem conteúdos descritos desde 1710 até 2026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Museu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5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museu utiliza o software Museo Atlas (produto a Keep Solutions) como </w:t>
      </w:r>
      <w:r w:rsidDel="00000000" w:rsidR="00000000" w:rsidRPr="00000000">
        <w:rPr>
          <w:color w:val="1f1f1f"/>
          <w:rtl w:val="0"/>
        </w:rPr>
        <w:t xml:space="preserve">plataforma de gestão e publicação pública do seu património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Estão publicados 275 registos (à data de 8/5/2026), classificados pelo tipo de património (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Onomástico ou Material móvel, este ainda classificado </w:t>
      </w:r>
      <w:r w:rsidDel="00000000" w:rsidR="00000000" w:rsidRPr="00000000">
        <w:rPr>
          <w:color w:val="1f1f1f"/>
          <w:rtl w:val="0"/>
        </w:rPr>
        <w:t xml:space="preserve">por coleções). Há 3 registos também com referência a autor, e 149 registos com informação de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Categorias/Tipologias</w:t>
      </w:r>
      <w:r w:rsidDel="00000000" w:rsidR="00000000" w:rsidRPr="00000000">
        <w:rPr>
          <w:color w:val="1f1f1f"/>
          <w:rtl w:val="0"/>
        </w:rPr>
        <w:t xml:space="preserve">. Os registos de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Material móvel</w:t>
      </w:r>
      <w:r w:rsidDel="00000000" w:rsidR="00000000" w:rsidRPr="00000000">
        <w:rPr>
          <w:color w:val="1f1f1f"/>
          <w:rtl w:val="0"/>
        </w:rPr>
        <w:t xml:space="preserve"> têm todos a indicação de Lisboa no campo de localidade.</w:t>
      </w:r>
    </w:p>
    <w:p w:rsidR="00000000" w:rsidDel="00000000" w:rsidP="00000000" w:rsidRDefault="00000000" w:rsidRPr="00000000" w14:paraId="00000017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ssivegrid.com/blog/php-8-performance-hosting-upgra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