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ACL - Problema e Objetivos: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A Academia das Ciências de Lisboa apresenta atualmente um ecossistema digital fragmentado, composto por múltiplos serviços e plataformas tecnológicas autónomas. Isto dificulta a gestão integrada da informação, aumenta a dependência de fornecedores e reduz a capacidade institucional de controlo sobre os seus próprios objetos digitais, nomeadamente no que respeita à sua descrição, extração, reutilização e preservação a longo prazo. A manutenção deste ecossistema implica ainda processos manuais e, em alguns casos, redundantes ou ineficientes, como sucede na articulação entre sistemas internos e plataformas externas, em particular na Biblioteca Digital e na relação com a Porbase e o RCAAP. 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Objetivos: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Um dos objetivos é contribuir para o aumento da maturidade digital da ACL, propondo melhorias concretas e validadas ao nível da organização da informação, da interoperabilidade entre sistemas e da capacidade de preservação digital. Pretende-se reforçar a autonomia institucional sobre os serviços e os ativos digitais, garantindo melhores condições de gestão, extração, migração e preservação a longo prazo de forma a terem total liberdade e controlo sobre os seus serviços e objetos digitais.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Em termos operacionais, pretende-se também identificar e redesenhar fluxos de trabalho que atualmente duplicam ou triplicam esforço, nomeadamente através da redução de tarefas manuais e da automatização, sempre que possível, da circulação de dados entre sistemas internos e plataformas externas, como a Biblioteca Digital, a Porbase e o RCAAP. Paralelamente, importa clarificar responsabilidades, dependências técnicas e possibilidades de integração futura entre os vários serviços digitais da Academia.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