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both"/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ACL - Análise: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ind w:left="0" w:firstLine="0"/>
        <w:jc w:val="both"/>
        <w:rPr>
          <w:b w:val="1"/>
          <w:bCs w:val="1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0" w:firstLine="0"/>
        <w:jc w:val="both"/>
        <w:rPr>
          <w:b w:val="1"/>
          <w:bCs w:val="1"/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Website principal da ACL:</w:t>
      </w:r>
    </w:p>
    <w:p w:rsidR="00000000" w:rsidDel="00000000" w:rsidP="00000000" w:rsidRDefault="00000000" w:rsidRPr="00000000" w14:paraId="00000004">
      <w:pPr>
        <w:ind w:left="0" w:firstLine="0"/>
        <w:jc w:val="both"/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O site principal da ACL utiliza o WordPress e, através de uma recolha realizada no início de 2026 através da API pública, conseguimos ver que o site tem um total de 254 posts, 2547 ficheiros, dos quais 1908 são imagens, e 8 categorias onde a categoria de NOTÍCIAS tem 245 posts.</w:t>
      </w:r>
    </w:p>
    <w:p w:rsidR="00000000" w:rsidDel="00000000" w:rsidP="00000000" w:rsidRDefault="00000000" w:rsidRPr="00000000" w14:paraId="00000005">
      <w:pPr>
        <w:ind w:left="0" w:firstLine="0"/>
        <w:jc w:val="both"/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ind w:left="0" w:firstLine="0"/>
        <w:jc w:val="both"/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acad-ciencias.pt/wp-admin:</w:t>
      </w:r>
    </w:p>
    <w:p w:rsidR="00000000" w:rsidDel="00000000" w:rsidP="00000000" w:rsidRDefault="00000000" w:rsidRPr="00000000" w14:paraId="00000007">
      <w:pPr>
        <w:ind w:left="0" w:firstLine="0"/>
        <w:jc w:val="both"/>
        <w:rPr>
          <w:color w:val="1f1f1f"/>
        </w:rPr>
      </w:pPr>
      <w:r w:rsidDel="00000000" w:rsidR="00000000" w:rsidRPr="00000000">
        <w:rPr>
          <w:color w:val="1f1f1f"/>
          <w:rtl w:val="0"/>
        </w:rPr>
        <w:t>A análise do painel de administração identificou necessidades de atualização dos componentes técnicos do site. A manutenção destas componentes deve ser acompanhada pela equipa responsável pela infraestrutura.</w:t>
      </w:r>
    </w:p>
    <w:p w:rsidR="00000000" w:rsidDel="00000000" w:rsidP="00000000" w:rsidRDefault="00000000" w:rsidRPr="00000000" w14:paraId="00000008">
      <w:pPr>
        <w:ind w:left="0" w:firstLine="0"/>
        <w:jc w:val="both"/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both"/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both"/>
        <w:rPr>
          <w:color w:val="1f1f1f"/>
        </w:rPr>
      </w:pPr>
      <w:r w:rsidDel="00000000" w:rsidR="00000000" w:rsidRPr="00000000">
        <w:rPr>
          <w:color w:val="1f1f1f"/>
          <w:rtl w:val="0"/>
        </w:rPr>
        <w:t>A análise identificou também necessidades de atualização dos plugins. Os detalhes operacionais foram omitidos nesta versão pública.</w:t>
      </w:r>
    </w:p>
    <w:p w:rsidR="00000000" w:rsidDel="00000000" w:rsidP="00000000" w:rsidRDefault="00000000" w:rsidRPr="00000000" w14:paraId="0000000C">
      <w:pPr>
        <w:jc w:val="both"/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both"/>
        <w:rPr/>
      </w:pPr>
      <w:r w:rsidDel="00000000" w:rsidR="00000000" w:rsidRPr="00000000">
        <w:rPr>
          <w:color w:val="1f1f1f"/>
          <w:rtl w:val="0"/>
        </w:rPr>
        <w:t>O site dispõe de um mecanismo de cópias de segurança. A configuração e a manutenção deste mecanismo devem ser acompanhadas pela equipa responsável.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left="0" w:firstLine="0"/>
        <w:jc w:val="both"/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ind w:left="0" w:firstLine="0"/>
        <w:jc w:val="both"/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ind w:left="0" w:firstLine="0"/>
        <w:jc w:val="both"/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Arquivo</w:t>
      </w:r>
      <w:r w:rsidDel="00000000" w:rsidR="00000000" w:rsidRPr="00000000">
        <w:rPr>
          <w:color w:val="1f1f1f"/>
          <w:rtl w:val="0"/>
        </w:rPr>
        <w:t xml:space="preserve">:</w:t>
      </w:r>
    </w:p>
    <w:p w:rsidR="00000000" w:rsidDel="00000000" w:rsidP="00000000" w:rsidRDefault="00000000" w:rsidRPr="00000000" w14:paraId="00000011">
      <w:pPr>
        <w:ind w:left="0" w:firstLine="0"/>
        <w:jc w:val="both"/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O arquivo utiliza o software Archeevo, especializado para gestão arquivista (produto da empresa Keep Solutions).</w:t>
      </w:r>
    </w:p>
    <w:p w:rsidR="00000000" w:rsidDel="00000000" w:rsidP="00000000" w:rsidRDefault="00000000" w:rsidRPr="00000000" w14:paraId="00000012">
      <w:pPr>
        <w:ind w:left="0" w:firstLine="0"/>
        <w:jc w:val="both"/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Estão publicados 5275 registos (à data de 8/5/2026), com indicação do “Nível de Descrição” (coleção, um fundo, uma série…), se há ou não objetos digitais associados, e o “Idioma e Escrita” (apenas 3783 registos têm esta classificação). </w:t>
      </w:r>
      <w:r w:rsidDel="00000000" w:rsidR="00000000" w:rsidRPr="00000000">
        <w:rPr>
          <w:color w:val="1f1f1f"/>
          <w:sz w:val="20"/>
          <w:szCs w:val="20"/>
          <w:rtl w:val="0"/>
        </w:rPr>
        <w:t xml:space="preserve">Existem conteúdos descritos desde 1710 até 2026</w:t>
      </w:r>
      <w:r w:rsidDel="00000000" w:rsidR="00000000" w:rsidRPr="00000000">
        <w:rPr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13">
      <w:pPr>
        <w:ind w:left="0" w:firstLine="0"/>
        <w:jc w:val="both"/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both"/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Museu</w:t>
      </w:r>
      <w:r w:rsidDel="00000000" w:rsidR="00000000" w:rsidRPr="00000000">
        <w:rPr>
          <w:color w:val="1f1f1f"/>
          <w:rtl w:val="0"/>
        </w:rPr>
        <w:t xml:space="preserve">:</w:t>
      </w:r>
    </w:p>
    <w:p w:rsidR="00000000" w:rsidDel="00000000" w:rsidP="00000000" w:rsidRDefault="00000000" w:rsidRPr="00000000" w14:paraId="00000015">
      <w:pPr>
        <w:jc w:val="both"/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O museu utiliza o software Museo Atlas (produto a Keep Solutions) como </w:t>
      </w:r>
      <w:r w:rsidDel="00000000" w:rsidR="00000000" w:rsidRPr="00000000">
        <w:rPr>
          <w:color w:val="1f1f1f"/>
          <w:rtl w:val="0"/>
        </w:rPr>
        <w:t xml:space="preserve">plataforma de gestão e publicação pública do seu património digital.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both"/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Estão publicados 275 registos (à data de 8/5/2026), classificados pelo tipo de património (</w:t>
      </w:r>
      <w:r w:rsidDel="00000000" w:rsidR="00000000" w:rsidRPr="00000000">
        <w:rPr>
          <w:color w:val="1f1f1f"/>
          <w:sz w:val="20"/>
          <w:szCs w:val="20"/>
          <w:rtl w:val="0"/>
        </w:rPr>
        <w:t xml:space="preserve">Onomástico ou Material móvel, este ainda classificado </w:t>
      </w:r>
      <w:r w:rsidDel="00000000" w:rsidR="00000000" w:rsidRPr="00000000">
        <w:rPr>
          <w:color w:val="1f1f1f"/>
          <w:rtl w:val="0"/>
        </w:rPr>
        <w:t xml:space="preserve">por coleções). Há 3 registos também com referência a autor, e 149 registos com informação de </w:t>
      </w:r>
      <w:r w:rsidDel="00000000" w:rsidR="00000000" w:rsidRPr="00000000">
        <w:rPr>
          <w:color w:val="1f1f1f"/>
          <w:sz w:val="20"/>
          <w:szCs w:val="20"/>
          <w:rtl w:val="0"/>
        </w:rPr>
        <w:t xml:space="preserve">Categorias/Tipologias</w:t>
      </w:r>
      <w:r w:rsidDel="00000000" w:rsidR="00000000" w:rsidRPr="00000000">
        <w:rPr>
          <w:color w:val="1f1f1f"/>
          <w:rtl w:val="0"/>
        </w:rPr>
        <w:t xml:space="preserve">. Os registos de </w:t>
      </w:r>
      <w:r w:rsidDel="00000000" w:rsidR="00000000" w:rsidRPr="00000000">
        <w:rPr>
          <w:color w:val="1f1f1f"/>
          <w:sz w:val="20"/>
          <w:szCs w:val="20"/>
          <w:rtl w:val="0"/>
        </w:rPr>
        <w:t xml:space="preserve">Material móvel</w:t>
      </w:r>
      <w:r w:rsidDel="00000000" w:rsidR="00000000" w:rsidRPr="00000000">
        <w:rPr>
          <w:color w:val="1f1f1f"/>
          <w:rtl w:val="0"/>
        </w:rPr>
        <w:t xml:space="preserve"> têm todos a indicação de Lisboa no campo de localidade.</w:t>
      </w:r>
    </w:p>
    <w:p w:rsidR="00000000" w:rsidDel="00000000" w:rsidP="00000000" w:rsidRDefault="00000000" w:rsidRPr="00000000" w14:paraId="00000017">
      <w:pPr>
        <w:jc w:val="both"/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jc w:val="both"/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both"/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both"/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both"/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both"/>
        <w:rPr>
          <w:color w:val="1f1f1f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PT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massivegrid.com/blog/php-8-performance-hosting-upgrad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