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Data Science – Turma 29ABD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Trabalho 03</w:t>
      </w:r>
    </w:p>
    <w:p w:rsidR="00000000" w:rsidDel="00000000" w:rsidP="00000000" w:rsidRDefault="00000000" w:rsidRPr="00000000" w14:paraId="0000000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Parte 1: Regressão Linear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Faça a previsão das vendas (R$) mensal no período de 12 meses da empresa XYZ a partir dos dados disponíveis de Vendas (R$) e Budget Advertising (R$) da empresa. Use o modelo de regressão linear simples: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00.0" w:type="dxa"/>
        <w:jc w:val="left"/>
        <w:tblLayout w:type="fixed"/>
        <w:tblLook w:val="0000"/>
      </w:tblPr>
      <w:tblGrid>
        <w:gridCol w:w="960"/>
        <w:gridCol w:w="960"/>
        <w:gridCol w:w="1590"/>
        <w:gridCol w:w="2190"/>
        <w:tblGridChange w:id="0">
          <w:tblGrid>
            <w:gridCol w:w="960"/>
            <w:gridCol w:w="960"/>
            <w:gridCol w:w="1590"/>
            <w:gridCol w:w="2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Budget_Advertising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jan/16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1160081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72800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fev/16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1622540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123392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mar/16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1597260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135761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abr/16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1640675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148064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mai/16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1511270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159746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jun/16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1634073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183353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jul/16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1856971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190722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ago/16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1585566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197802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2041672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248891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out/16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1933557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256353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nov/16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2076910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298805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dez/16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1740202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268925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jan/17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1657258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104000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fev/17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2317914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176274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mar/17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2281800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193944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abr/17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2343821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211520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mai/17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2158957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228209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jun/17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2334390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261933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jul/17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2652815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272460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ago/17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2265094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282574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2916674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355559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out/17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2762225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366219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nov/17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2967014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426865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dez/17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2486002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384179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jan/18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2071573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130000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fev/18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2897392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220343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mar/18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2852250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242431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abr/18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2929776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264401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mai/18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2698696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285262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jun/18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2917988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327417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jul/18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3316019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340575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ago/18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2831367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353218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3645842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444449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out/18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3452781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457774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nov/18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3708768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533582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dez/18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3107503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480224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jan/19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91000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fev/19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154240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mar/19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169702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abr/19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185081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mai/19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199683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jun/19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229192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jul/19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238403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ago/19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247253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311114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out/19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320442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nov/19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373507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dez/19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336157</w:t>
            </w:r>
          </w:p>
        </w:tc>
      </w:tr>
    </w:tbl>
    <w:p w:rsidR="00000000" w:rsidDel="00000000" w:rsidP="00000000" w:rsidRDefault="00000000" w:rsidRPr="00000000" w14:paraId="000000CE">
      <w:pPr>
        <w:spacing w:line="360" w:lineRule="auto"/>
        <w:ind w:left="717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360" w:lineRule="auto"/>
        <w:ind w:left="717" w:hanging="360"/>
        <w:rPr/>
      </w:pPr>
      <w:r w:rsidDel="00000000" w:rsidR="00000000" w:rsidRPr="00000000">
        <w:rPr>
          <w:vertAlign w:val="baseline"/>
          <w:rtl w:val="0"/>
        </w:rPr>
        <w:t xml:space="preserve">Interprete o gráfico de dispersão entre as Vendas e o Budget. </w:t>
      </w:r>
    </w:p>
    <w:p w:rsidR="00000000" w:rsidDel="00000000" w:rsidP="00000000" w:rsidRDefault="00000000" w:rsidRPr="00000000" w14:paraId="000000D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468880" cy="2353945"/>
            <wp:effectExtent b="0" l="0" r="0" t="0"/>
            <wp:docPr descr="Gráfico, Gráfico de dispersão&#10;&#10;Descrição gerada automaticamente" id="1" name="image6.png"/>
            <a:graphic>
              <a:graphicData uri="http://schemas.openxmlformats.org/drawingml/2006/picture">
                <pic:pic>
                  <pic:nvPicPr>
                    <pic:cNvPr descr="Gráfico, Gráfico de dispersão&#10;&#10;Descrição gerada automaticament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35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vertAlign w:val="baseline"/>
        </w:rPr>
      </w:pPr>
      <w:r w:rsidDel="00000000" w:rsidR="00000000" w:rsidRPr="00000000">
        <w:rPr>
          <w:rtl w:val="0"/>
        </w:rPr>
        <w:t xml:space="preserve">O gráfico mostra que existe uma relação positiva entre o investimento em publicidade e as vendas: quanto maior o budget, maiores tendem a ser as vendas. Os pontos se distribuem de forma razoavelmente próxima a uma reta ascendente, o que indica que a regressão linear simples é adequada para modelar essa relação.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17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Interprete a equação do modelo ajustado. </w:t>
      </w:r>
    </w:p>
    <w:p w:rsidR="00000000" w:rsidDel="00000000" w:rsidP="00000000" w:rsidRDefault="00000000" w:rsidRPr="00000000" w14:paraId="000000D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Modelo:  Vendas = 1060550.39605172 + 4.9641 * Budget_Advertising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  <w:t xml:space="preserve">O intercepto representa o nível base de vendas quando o budget é zero, a empresa teria uma venda mínima estimada mesmo sem investir em publicidade.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coeficiente angular indica que para cada R$1,00 a mais investido em publicidade, as vendas aumentam em média R$4,96. Isso mostra que o investimento em publicidade tem retorno positivo sobre as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7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previsão das vendas para 2019? Use o modelo ajustado no item b)</w:t>
      </w:r>
    </w:p>
    <w:p w:rsidR="00000000" w:rsidDel="00000000" w:rsidP="00000000" w:rsidRDefault="00000000" w:rsidRPr="00000000" w14:paraId="000000D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34.0" w:type="dxa"/>
        <w:jc w:val="left"/>
        <w:tblInd w:w="5.0" w:type="dxa"/>
        <w:tblLayout w:type="fixed"/>
        <w:tblLook w:val="0000"/>
      </w:tblPr>
      <w:tblGrid>
        <w:gridCol w:w="867"/>
        <w:gridCol w:w="886"/>
        <w:gridCol w:w="1562"/>
        <w:gridCol w:w="2055"/>
        <w:gridCol w:w="1543"/>
        <w:gridCol w:w="4521"/>
        <w:tblGridChange w:id="0">
          <w:tblGrid>
            <w:gridCol w:w="867"/>
            <w:gridCol w:w="886"/>
            <w:gridCol w:w="1562"/>
            <w:gridCol w:w="2055"/>
            <w:gridCol w:w="1543"/>
            <w:gridCol w:w="4521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Vendas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Budget_Advertising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jan/16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1160081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72800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fev/16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1622540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123392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mar/16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1597260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135761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abr/16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1640675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148064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mai/16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1511270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159746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jun/16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1634073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183353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jul/16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1856971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190722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ago/16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1585566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197802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2041672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248891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out/16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1933557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256353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nov/16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2076910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298805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dez/16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1740202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268925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jan/17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1657258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104000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fev/17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2317914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176274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mar/17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2281800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193944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abr/17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2343821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211520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mai/17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2158957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228209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jun/17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2334390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261933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jul/17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2652815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272460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ago/17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2265094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282574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2916674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355559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out/17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2762225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366219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nov/17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2967014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426865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dez/17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2486002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384179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jan/18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2071573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fev/18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2897392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220343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mar/18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2852250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242431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abr/18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2929776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264401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mai/18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2698696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285262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jun/18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2917988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327417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jul/18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3316019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340575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ago/18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2831367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353218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3645842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444449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out/18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3452781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457774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nov/18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3708768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533582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dez/18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3107503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480224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jan/19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1511910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91000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Vendas = 1060550.39 + 4.96 *budget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fev/19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1852580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154240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mar/19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1902272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169702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abr/19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1978552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185081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mai/19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2050978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199683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jun/19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2197342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229192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jul/19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2243029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238403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ago/19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2286925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247253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set/19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2603675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311114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out/19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2649942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320442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nov/19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2913145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373507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dez/19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vertAlign w:val="baseline"/>
                <w:rtl w:val="0"/>
              </w:rPr>
              <w:t xml:space="preserve"> 2727889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336157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Relacione a Estatística com a Definição do conceito estatístico: </w:t>
      </w:r>
    </w:p>
    <w:p w:rsidR="00000000" w:rsidDel="00000000" w:rsidP="00000000" w:rsidRDefault="00000000" w:rsidRPr="00000000" w14:paraId="0000020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40.0" w:type="dxa"/>
        <w:jc w:val="left"/>
        <w:tblLayout w:type="fixed"/>
        <w:tblLook w:val="0000"/>
      </w:tblPr>
      <w:tblGrid>
        <w:gridCol w:w="371"/>
        <w:gridCol w:w="5039"/>
        <w:gridCol w:w="181"/>
        <w:gridCol w:w="491"/>
        <w:gridCol w:w="4058"/>
        <w:tblGridChange w:id="0">
          <w:tblGrid>
            <w:gridCol w:w="371"/>
            <w:gridCol w:w="5039"/>
            <w:gridCol w:w="181"/>
            <w:gridCol w:w="491"/>
            <w:gridCol w:w="405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Estatísticas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b 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  <w:rtl w:val="0"/>
              </w:rPr>
              <w:t xml:space="preserve">Intercepto do modelo de regressão (nível médio)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Β0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k 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Variável predito do modelo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Multiple 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j 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C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Diferença entre a resposta e o valor estimado pelo modelo (Y-Y estimado)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Adjusted 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c 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  <w:rtl w:val="0"/>
              </w:rPr>
              <w:t xml:space="preserve">Acurácia do modelo de regressão linear simples.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Β1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 d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  <w:rtl w:val="0"/>
              </w:rPr>
              <w:t xml:space="preserve">Acurácia do modelo de regressão linear múltipla.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Resíduo padronizado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h 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Calibri" w:cs="Calibri" w:eastAsia="Calibri" w:hAnsi="Calibri"/>
                <w:color w:val="222222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vertAlign w:val="baseline"/>
                <w:rtl w:val="0"/>
              </w:rPr>
              <w:t xml:space="preserve">Regressão linear simples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D">
            <w:pPr>
              <w:rPr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95250" cy="190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vertAlign w:val="baseline"/>
                <w:rtl w:val="0"/>
              </w:rPr>
              <w:t xml:space="preserve">(Y estimado)</w:t>
            </w:r>
          </w:p>
          <w:p w:rsidR="00000000" w:rsidDel="00000000" w:rsidP="00000000" w:rsidRDefault="00000000" w:rsidRPr="00000000" w14:paraId="000002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i 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  <w:rtl w:val="0"/>
              </w:rPr>
              <w:t xml:space="preserve">Regressão linear múltipla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Y=β0+β1x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g 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  <w:rtl w:val="0"/>
              </w:rPr>
              <w:t xml:space="preserve">Valor estimado pelo modelo de regressão linear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Y=β0+β1x1+β2x2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e 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Coeficiente de regressão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Resíduo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 f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  <w:rtl w:val="0"/>
              </w:rPr>
              <w:t xml:space="preserve">Resíduo é transformado em nova variável com média igual 0 e desvio padrão igual 1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  <w:rtl w:val="0"/>
              </w:rPr>
              <w:t xml:space="preserve">(  a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18"/>
                <w:szCs w:val="18"/>
                <w:vertAlign w:val="baseline"/>
                <w:rtl w:val="0"/>
              </w:rPr>
              <w:t xml:space="preserve">Variável resposta do modelo</w:t>
            </w:r>
          </w:p>
        </w:tc>
      </w:tr>
    </w:tbl>
    <w:p w:rsidR="00000000" w:rsidDel="00000000" w:rsidP="00000000" w:rsidRDefault="00000000" w:rsidRPr="00000000" w14:paraId="000002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Modelo do Bike Sharing: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Os sistemas de compartilhamento de bicicletas são uma nova geração de aluguel de bicicletas tradicional, onde todo o processo de associação, locação e devolução tornou-se automático. Através destes sistemas, o usuário pode facilmente alugar uma bicicleta a partir de uma determinada posição e retornar em outra posição. Atualmente, existem cerca de 500 programas de compartilhamento de bicicletas em todo o mundo, compostos por mais de 500 mil bicicletas. Hoje, existe um grande interesse nesses sistemas devido ao seu importante papel no trânsito, questões ambientais e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spacing w:after="200" w:line="276" w:lineRule="auto"/>
        <w:ind w:left="720" w:hanging="360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Fonte de dados: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vertAlign w:val="baseline"/>
            <w:rtl w:val="0"/>
          </w:rPr>
          <w:t xml:space="preserve">https://archive.ics.uci.edu/ml/datasets/Bike+Sharing+Dataset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Objetivo: Prever a demanda de bikes alugadas.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Interprete o gráfico Box Plot: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                Gráfico Box Plot do total de bikes alugadas versus estação do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2124" w:firstLine="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</w:rPr>
        <w:drawing>
          <wp:inline distB="0" distT="0" distL="114300" distR="114300">
            <wp:extent cx="3034665" cy="1781810"/>
            <wp:effectExtent b="0" l="0" r="0" t="0"/>
            <wp:docPr descr="Gráfico, Gráfico de caixa estreita&#10;&#10;O conteúdo gerado por IA pode estar incorreto." id="2" name="image4.png"/>
            <a:graphic>
              <a:graphicData uri="http://schemas.openxmlformats.org/drawingml/2006/picture">
                <pic:pic>
                  <pic:nvPicPr>
                    <pic:cNvPr descr="Gráfico, Gráfico de caixa estreita&#10;&#10;O conteúdo gerado por IA pode estar incorreto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178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gráfico mostra que a demanda por bikes varia bastante conforme a estação do ano. Verão e Primavera têm as maiores medianas, indicando maior uso nessas estações. O Inverno apresenta a menor mediana e menor variação. O Outono fica em posição intermediária.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Também é possível observar outliers em todas as estações, representando dias com demanda muito acima do normal, possivelmente por eventos ou condições climáticas atípicas.</w:t>
      </w:r>
    </w:p>
    <w:p w:rsidR="00000000" w:rsidDel="00000000" w:rsidP="00000000" w:rsidRDefault="00000000" w:rsidRPr="00000000" w14:paraId="00000262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os resultados dos dois modelos: estação do ano como variável preditora qualitativa versus variável preditora quantitativa.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6350000" cy="45624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o modelo correto para esse tipo de variável? Por quê?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 modelo correto é o que trata estação do ano como variável qualitativa, usando variáveis dummy. Isso porque estação do ano é uma variável categórica os números 1, 2, 3, 4 que a representam não têm relação de magnitude entre si. Tratar como quantitativa impõe uma progressão linear que não faz sentido para esse tipo de dado.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Qual a sua conclusão?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 modelo com variável qualitativa se mostrou mais adequado. Quando a estação é tratada como quantitativa, o modelo força uma relação linear entre as categorias, o que distorce as estimativas. Usando dummies, cada estação tem seu próprio efeito estimado, o que reflete melhor o comportamento observado no Box Plot.</w:t>
      </w:r>
    </w:p>
    <w:p w:rsidR="00000000" w:rsidDel="00000000" w:rsidP="00000000" w:rsidRDefault="00000000" w:rsidRPr="00000000" w14:paraId="0000026E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Parte 2: Avaliação das técnicas de 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Contexto dos dados:</w:t>
      </w:r>
    </w:p>
    <w:p w:rsidR="00000000" w:rsidDel="00000000" w:rsidP="00000000" w:rsidRDefault="00000000" w:rsidRPr="00000000" w14:paraId="00000277">
      <w:pPr>
        <w:spacing w:after="280" w:before="280" w:lineRule="auto"/>
        <w:rPr>
          <w:sz w:val="18"/>
          <w:szCs w:val="18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80" w:before="280" w:lineRule="auto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Paulo Cortez, University of Minho, Guimarães, Portugal, </w:t>
      </w:r>
      <w:hyperlink r:id="rId11">
        <w:r w:rsidDel="00000000" w:rsidR="00000000" w:rsidRPr="00000000">
          <w:rPr>
            <w:color w:val="0563c1"/>
            <w:sz w:val="18"/>
            <w:szCs w:val="18"/>
            <w:u w:val="single"/>
            <w:vertAlign w:val="baseline"/>
            <w:rtl w:val="0"/>
          </w:rPr>
          <w:t xml:space="preserve">http://www3.dsi.uminho.pt/pcortez</w:t>
        </w:r>
      </w:hyperlink>
      <w:r w:rsidDel="00000000" w:rsidR="00000000" w:rsidRPr="00000000">
        <w:rPr>
          <w:sz w:val="18"/>
          <w:szCs w:val="18"/>
          <w:vertAlign w:val="baseline"/>
          <w:rtl w:val="0"/>
        </w:rPr>
        <w:t xml:space="preserve"> </w:t>
        <w:br w:type="textWrapping"/>
        <w:t xml:space="preserve">A. Cerdeira, F. Almeida, T. Matos and J. Reis, Viticulture Commission of the Vinho Verde Region(CVRVV), Porto, Portugal @2009</w:t>
      </w:r>
    </w:p>
    <w:p w:rsidR="00000000" w:rsidDel="00000000" w:rsidP="00000000" w:rsidRDefault="00000000" w:rsidRPr="00000000" w14:paraId="00000279">
      <w:pPr>
        <w:spacing w:after="280" w:before="280" w:lineRule="auto"/>
        <w:rPr>
          <w:sz w:val="18"/>
          <w:szCs w:val="18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Data Set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80" w:before="280" w:lineRule="auto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The two datasets are related to red and white variants of the Portuguese "Vinho Verde" wine. For more details, consult: </w:t>
      </w:r>
      <w:hyperlink r:id="rId12">
        <w:r w:rsidDel="00000000" w:rsidR="00000000" w:rsidRPr="00000000">
          <w:rPr>
            <w:color w:val="0000ff"/>
            <w:sz w:val="18"/>
            <w:szCs w:val="18"/>
            <w:u w:val="single"/>
            <w:vertAlign w:val="baseline"/>
            <w:rtl w:val="0"/>
          </w:rPr>
          <w:t xml:space="preserve">[Web Link]</w:t>
        </w:r>
      </w:hyperlink>
      <w:r w:rsidDel="00000000" w:rsidR="00000000" w:rsidRPr="00000000">
        <w:rPr>
          <w:sz w:val="18"/>
          <w:szCs w:val="18"/>
          <w:vertAlign w:val="baseline"/>
          <w:rtl w:val="0"/>
        </w:rPr>
        <w:t xml:space="preserve"> or the reference [Cortez et al., 2009]. Due to privacy and logistic issues, only physicochemical (inputs) and sensory (the output) variables are available (e.g. there is no data about grape types, wine brand, wine selling price, etc.). 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vertAlign w:val="baseline"/>
          <w:rtl w:val="0"/>
        </w:rPr>
        <w:t xml:space="preserve">Relevant Papers: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80" w:before="280" w:lineRule="auto"/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P. Cortez, A. Cerdeira, F. Almeida, T. Matos and J. Reis. Modeling wine preferences by data mining from physicochemical properties. </w:t>
        <w:br w:type="textWrapping"/>
        <w:t xml:space="preserve">In Decision Support Systems, Elsevier, 47(4):547-553, 2009. </w:t>
        <w:br w:type="textWrapping"/>
        <w:br w:type="textWrapping"/>
        <w:t xml:space="preserve">Available at: </w:t>
      </w:r>
      <w:hyperlink r:id="rId13">
        <w:r w:rsidDel="00000000" w:rsidR="00000000" w:rsidRPr="00000000">
          <w:rPr>
            <w:color w:val="0000ff"/>
            <w:sz w:val="18"/>
            <w:szCs w:val="18"/>
            <w:u w:val="single"/>
            <w:vertAlign w:val="baseline"/>
            <w:rtl w:val="0"/>
          </w:rPr>
          <w:t xml:space="preserve">[Web Link]</w:t>
        </w:r>
      </w:hyperlink>
      <w:r w:rsidDel="00000000" w:rsidR="00000000" w:rsidRPr="00000000">
        <w:rPr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80" w:before="280" w:lineRule="auto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83.000000000002" w:type="dxa"/>
        <w:jc w:val="left"/>
        <w:tblInd w:w="-72.0" w:type="dxa"/>
        <w:tblLayout w:type="fixed"/>
        <w:tblLook w:val="0000"/>
      </w:tblPr>
      <w:tblGrid>
        <w:gridCol w:w="44"/>
        <w:gridCol w:w="2548"/>
        <w:gridCol w:w="7647"/>
        <w:gridCol w:w="44"/>
        <w:tblGridChange w:id="0">
          <w:tblGrid>
            <w:gridCol w:w="44"/>
            <w:gridCol w:w="2548"/>
            <w:gridCol w:w="7647"/>
            <w:gridCol w:w="44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000000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baseline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000000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fixedacidity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(Acidez fixa)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 maioria dos ácidos presentes no vinho ou fixos ou não voláteis (não evaporaram prontamente)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volatileacidity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(Acidez volátil)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 quantidade de ácido acético no vinho, que em níveis muito altos pode levar a um gosto desagradável de vinagre.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Citricacid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(Ácido cítrico)</w:t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encontrado em pequenas quantidades, o ácido cítrico pode adicionar “frescura” e sabor aos vinhos.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6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Residualsugar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(Açúcar residual)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 quantidade de açúcar restante depois que o processo de fermentação (em contato com a levedura, o açúcar da uva vai se transformando em álcool, ou seja, a fermentação vai ocorrendo)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Chlorides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Cloretos)</w:t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 quantidade de sal no vinho.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9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freesulfurdioxide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(Dióxido de enxofre livre)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 forma livre de SO2 existe em equilíbrio entre o SO2 molecular (como gás dissolvido) e o íon bissulfito; impede o crescimento microbiano e a oxidação do vinho.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G</w:t>
            </w: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arante condições melhores para os processos de vinificação da bebida, elimina bactérias e leveduras frágeis e indesejáveis, o que permite que apenas as melhores prossigam com o processo fermentativo. Além do mais, melhora o aroma e afina a cor da bebida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9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totalsulfurdioxide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(Dióxido de enxofre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quantidade de formas livres e encadernadas de S02; em baixas concentrações, o SO2 é quase indetectável no vinho, mas nas concentrações de SO2 livre acima de 50 ppm, o SO2 se torna evidente no nariz e no sabor do vinho.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Density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Densidade)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 densidade é próxima à da água, dependendo do percentual de álcool e teor de açúcar.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descreve como o vinho é acídico ou básico numa escala de 0 (muito ácido) a 14 (muito básico); a maioria dos vinhos tem entre 3-4 na escala de 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Sulphates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(Sulfatos)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um aditivo de vinho que pode contribuir para os níveis de gás de dióxido de enxofre (S02), que age como um antimicrobiano e antioxidante.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alcohol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(Álcool)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o teor alcoólico percentual do vinho.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8" w:val="dotted"/>
              <w:left w:color="a6a6a6" w:space="0" w:sz="8" w:val="dotted"/>
              <w:bottom w:color="a6a6a6" w:space="0" w:sz="8" w:val="dotted"/>
              <w:right w:color="a6a6a6" w:space="0" w:sz="8" w:val="dotted"/>
            </w:tcBorders>
            <w:shd w:fill="ffffff" w:val="clear"/>
            <w:tcMar>
              <w:top w:w="15.0" w:type="dxa"/>
              <w:left w:w="31.0" w:type="dxa"/>
              <w:bottom w:w="15.0" w:type="dxa"/>
              <w:right w:w="31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variável de saída (com base em dados sensoriais) que poderiam ser de 0 a 10 sendo zero muito ruim e 10 muito excelente.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280" w:before="280" w:lineRule="auto"/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Exemplo da Base (10 linhas)</w:t>
      </w:r>
    </w:p>
    <w:p w:rsidR="00000000" w:rsidDel="00000000" w:rsidP="00000000" w:rsidRDefault="00000000" w:rsidRPr="00000000" w14:paraId="000002B5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</w:rPr>
        <w:drawing>
          <wp:inline distB="0" distT="0" distL="114300" distR="114300">
            <wp:extent cx="6650990" cy="13557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135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80" w:before="280" w:lineRule="auto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80" w:before="28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Utilizando a base descrita e disponibilizada de vinhos de uma região de Portugal e com as variáveis de características (composição) dos vinhos. Responda as etapas a seguir.</w:t>
      </w:r>
    </w:p>
    <w:p w:rsidR="00000000" w:rsidDel="00000000" w:rsidP="00000000" w:rsidRDefault="00000000" w:rsidRPr="00000000" w14:paraId="000002B8">
      <w:pPr>
        <w:spacing w:after="280" w:before="28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Etapa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80" w:before="28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 objetivo de estimar a nota de qualidade dos vinhos (variável “Quality”) em função das características físico-químicas dos vinhos;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a técnica adequada para essa resolver esse objetivo: </w:t>
      </w:r>
    </w:p>
    <w:tbl>
      <w:tblPr>
        <w:tblStyle w:val="Table5"/>
        <w:tblW w:w="3501.0" w:type="dxa"/>
        <w:jc w:val="left"/>
        <w:tblInd w:w="1195.000000000000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"/>
        <w:gridCol w:w="3165"/>
        <w:tblGridChange w:id="0">
          <w:tblGrid>
            <w:gridCol w:w="336"/>
            <w:gridCol w:w="3165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Técnicas Supervisionadas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Técnicas Não Supervisionadas</w:t>
            </w:r>
          </w:p>
        </w:tc>
      </w:tr>
    </w:tbl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variáveis dependentes (D) e independentes (I)? Caso sim, preencha o quadro a seguir.</w:t>
      </w:r>
    </w:p>
    <w:tbl>
      <w:tblPr>
        <w:tblStyle w:val="Table6"/>
        <w:tblW w:w="8552.0" w:type="dxa"/>
        <w:jc w:val="left"/>
        <w:tblInd w:w="1195.000000000000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6212"/>
        <w:tblGridChange w:id="0">
          <w:tblGrid>
            <w:gridCol w:w="2340"/>
            <w:gridCol w:w="6212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Variáveis Dependentes: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quality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Variáveis Independentes: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rPr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fixed acidity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volatile acidity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citric acid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residual sugar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chlorides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free sulfur dioxide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total sulfur dioxide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density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pH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sulphates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vertAlign w:val="baseline"/>
                <w:rtl w:val="0"/>
              </w:rPr>
              <w:t xml:space="preserve">alcohol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(is) a tarefa(s) de Mining é (são) adequada (s) para solução desse objetivo: </w:t>
      </w:r>
    </w:p>
    <w:tbl>
      <w:tblPr>
        <w:tblStyle w:val="Table7"/>
        <w:tblW w:w="3087.0" w:type="dxa"/>
        <w:jc w:val="left"/>
        <w:tblInd w:w="1195.000000000000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9"/>
        <w:gridCol w:w="2598"/>
        <w:tblGridChange w:id="0">
          <w:tblGrid>
            <w:gridCol w:w="489"/>
            <w:gridCol w:w="259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Predição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Classificação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Regras de Associação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Agrupamento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Sumarização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Detecção de Anomalias </w:t>
            </w:r>
          </w:p>
        </w:tc>
      </w:tr>
    </w:tbl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pode indicar alguns algoritmos possíveis para essa tarefa? </w:t>
      </w:r>
    </w:p>
    <w:tbl>
      <w:tblPr>
        <w:tblStyle w:val="Table8"/>
        <w:tblW w:w="3720.0" w:type="dxa"/>
        <w:jc w:val="left"/>
        <w:tblInd w:w="1195.000000000000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9"/>
        <w:gridCol w:w="3131"/>
        <w:tblGridChange w:id="0">
          <w:tblGrid>
            <w:gridCol w:w="589"/>
            <w:gridCol w:w="3131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Regressão Linear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Árvore de Decisão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Regras de Associação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Séries Temporais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Análise de Clusters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Componentes Principais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Redes Neurais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Random Forest,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Outras: Arvore de Regressao</w:t>
            </w:r>
          </w:p>
        </w:tc>
      </w:tr>
    </w:tbl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cuidados que são indicados a fazer antes da etapa de aplicar os algoritmos/técnicas?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detecção de outliers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tratamentos de nulos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correlação para detectar problema de multicolinearidade (correlação entre variáveis preditoras)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padronização (mudar escala da variável quantitativa)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mudar formato da variável qualitativa de numero para texto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Entrega do exercício no formato word.</w:t>
      </w:r>
    </w:p>
    <w:p w:rsidR="00000000" w:rsidDel="00000000" w:rsidP="00000000" w:rsidRDefault="00000000" w:rsidRPr="00000000" w14:paraId="000002F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Data de entrega: 07/04/2026</w:t>
      </w:r>
    </w:p>
    <w:p w:rsidR="00000000" w:rsidDel="00000000" w:rsidP="00000000" w:rsidRDefault="00000000" w:rsidRPr="00000000" w14:paraId="000002F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Regina Bernal</w:t>
      </w:r>
    </w:p>
    <w:p w:rsidR="00000000" w:rsidDel="00000000" w:rsidP="00000000" w:rsidRDefault="00000000" w:rsidRPr="00000000" w14:paraId="000002F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23/03/2026</w:t>
      </w:r>
    </w:p>
    <w:p w:rsidR="00000000" w:rsidDel="00000000" w:rsidP="00000000" w:rsidRDefault="00000000" w:rsidRPr="00000000" w14:paraId="000002F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40" w:w="11907" w:orient="portrait"/>
      <w:pgMar w:bottom="1134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1728470" cy="390525"/>
          <wp:effectExtent b="0" l="0" r="0" t="0"/>
          <wp:wrapNone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8470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1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7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►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►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►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►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►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►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►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►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►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3.dsi.uminho.pt/pcortez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://dx.doi.org/10.1016/j.dss.2009.05.016" TargetMode="External"/><Relationship Id="rId12" Type="http://schemas.openxmlformats.org/officeDocument/2006/relationships/hyperlink" Target="http://www.vinhoverde.pt/e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hyperlink" Target="https://archive.ics.uci.edu/ml/datasets/Bike+Sharing+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