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Science  – 29ABD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Avaliação 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Classifique as variáveis de acordo com seu tipo: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QUALITATIVA ORDINAL;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QUALITATIVA NOMINAL;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QUANTITATIVA DISCRETA;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QUANTITATIVA CONTÍNUA.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0.999999999999" w:type="dxa"/>
        <w:jc w:val="left"/>
        <w:tblInd w:w="650.0" w:type="dxa"/>
        <w:tblLayout w:type="fixed"/>
        <w:tblLook w:val="0000"/>
      </w:tblPr>
      <w:tblGrid>
        <w:gridCol w:w="4224"/>
        <w:gridCol w:w="734"/>
        <w:gridCol w:w="1723"/>
        <w:tblGridChange w:id="0">
          <w:tblGrid>
            <w:gridCol w:w="4224"/>
            <w:gridCol w:w="734"/>
            <w:gridCol w:w="1723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Variáveis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Tipo da Variável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Renda Mensal em (R$)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D 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 B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Idade, em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 C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Quantidade de Filhos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C 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Consumo de Combustível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D 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Grau de Escolaridade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 A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Anos de Estudo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C 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Nota de Satisfação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A 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Quantidade de gols em uma partida de futebol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C   )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Tempo de atendimento, em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(  D   )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Numa distribuição de frequência os valores que se afastam das demais observações são denominados de: Resposta C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( A ) valor extremo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(B ) valor atípico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( C ) ambos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bookmarkStart w:colFirst="0" w:colLast="0" w:name="_uu1sayr0y3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uma pesquisa de satisfação do cliente (escala 1-5), uma empresa obteve os seguintes resultados: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1: 5 clientes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2: 10 clientes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3: 25 clientes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4: 40 clientes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 5: 20 clientes</w:t>
      </w:r>
    </w:p>
    <w:p w:rsidR="00000000" w:rsidDel="00000000" w:rsidP="00000000" w:rsidRDefault="00000000" w:rsidRPr="00000000" w14:paraId="00000037">
      <w:pPr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 é a moda desta distribuição? Resposta 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coeficiente de variação informa: Resposta C</w:t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(A) a variabilidade em torno da média</w:t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(B) a variabilidade em torno da mediana</w:t>
      </w:r>
    </w:p>
    <w:p w:rsidR="00000000" w:rsidDel="00000000" w:rsidP="00000000" w:rsidRDefault="00000000" w:rsidRPr="00000000" w14:paraId="00000042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(C) a medida relativa da variabilidade em torno da média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Dois produtos A e B têm vendas mensais com as seguintes características: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 A: Média = 1.000 unidades, Desvio Padrão = 100 unidades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 B: Média = 500 unidades, Desvio Padrão = 75 unidades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produto tem vendas mais consistentes (menos variáveis)? Resposta C</w:t>
      </w:r>
    </w:p>
    <w:p w:rsidR="00000000" w:rsidDel="00000000" w:rsidP="00000000" w:rsidRDefault="00000000" w:rsidRPr="00000000" w14:paraId="0000004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 A, pois tem maior média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 B, pois tem menor média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 A, pois tem menor coeficiente de variação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 B, pois tem menor desvio padrão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Ambos têm a mesma consistência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calcular os quartis (Q1, Q2, Q3) de uma distribuição de dados sobre faturamento mensal de uma empresa, você precisa: Resposta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Ordenar os dados e dividir em 4 partes iguais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a média dos valores extremos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Encontrar os valores que correspondem aos percentis 25%, 50% e 75%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Somar todos os valores e dividir por 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apenas a mediana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Selecione a declaração abaixo, que interpreta corretamente um intervalo de confiança de 95%  (15,02 ; 15,04) para o peso médio da população (caixa de cereal), se a média da amostra é 15,03kg. Resposta C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está 95% certo de que o verdadeiro peso médio de uma caixa de cereal está entre 15,02 e 15,04 kg.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probabilidade é de 0,95 que o verdadeiro peso médio é entre 15,02 e 15,04kg.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cerca de 95% dos intervalos calculados com este processo irão conter o verdadeiro peso médio. 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gráficos, aponte se a afirmação é verdadeira(V) ou falsa(F)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gráfico do tipo scatterplot pode ser utilizado para identificar outliers conjuntamente em duas variáveis. (V  )</w:t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gráfico Boxplot podemos visualizar a média e os quartis de uma variável numérica. ( F )</w:t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distribuição normal é geralmente utilizada para modelar dados contínuos. ( V )</w:t>
      </w:r>
    </w:p>
    <w:p w:rsidR="00000000" w:rsidDel="00000000" w:rsidP="00000000" w:rsidRDefault="00000000" w:rsidRPr="00000000" w14:paraId="0000006A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Podemos visualizar a tendência do salário médio anual na última década a partir de um gráfico de linhas. (V  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gráfico Histograma é um gráfico de barras utilizado para variáveis contínuas. (V  )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base no boxplot de salários, qual afirmação é correta? Resposta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022233" cy="1902878"/>
            <wp:effectExtent b="0" l="0" r="0" t="0"/>
            <wp:docPr descr="Gráfico, Gráfico de caixa estreita&#10;&#10;O conteúdo gerado por IA pode estar incorreto." id="2" name="image2.png"/>
            <a:graphic>
              <a:graphicData uri="http://schemas.openxmlformats.org/drawingml/2006/picture">
                <pic:pic>
                  <pic:nvPicPr>
                    <pic:cNvPr descr="Gráfico, Gráfico de caixa estreita&#10;&#10;O conteúdo gerado por IA pode estar incorreto." id="0" name="image2.png"/>
                    <pic:cNvPicPr preferRelativeResize="0"/>
                  </pic:nvPicPr>
                  <pic:blipFill>
                    <a:blip r:embed="rId6"/>
                    <a:srcRect b="11753" l="15930" r="26987" t="24317"/>
                    <a:stretch>
                      <a:fillRect/>
                    </a:stretch>
                  </pic:blipFill>
                  <pic:spPr>
                    <a:xfrm>
                      <a:off x="0" y="0"/>
                      <a:ext cx="3022233" cy="1902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A tem maior variabilidade salarial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B tem menor mediana salarial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A tem salários mais concentrados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têm a mesma variabilidade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B não possui outliers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avaliação da acurácia de modelos de predição para regressão e séries temporais, diferentes métricas são utilizadas para quantificar o erro e a qualidade do ajuste do modelo. Associe cada métrica abaixo à sua principal característica: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R² (coeficiente de determinação)</w:t>
        <w:br w:type="textWrapping"/>
        <w:t xml:space="preserve">B) RMSE (Root Mean Squared Error)</w:t>
        <w:br w:type="textWrapping"/>
        <w:t xml:space="preserve">C) MAE (Mean Absolute Error)</w:t>
        <w:br w:type="textWrapping"/>
        <w:t xml:space="preserve">D) MAPE (Mean Absolute Percentage Error)</w:t>
        <w:br w:type="textWrapping"/>
        <w:t xml:space="preserve">E) ME (Mean Error)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Categorias de resposta: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Mede a proporção da variância dos dados observados explicada pelo modelo. (  A )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Penaliza erros maiores de forma mais severa ao elevar o erro ao quadrado antes da média. (B  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 o erro médio em termos absolutos, sem considerar a direção do erro. (C   )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Expressa o erro médio em termos percentuais em relação aos valores reais. ( D  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 a tendência do modelo em superestimar ou subestimar os valores previstos. (E  )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 Na avaliação do desempenho de modelos de classificação, como por exemplo árvore de classificação e Random Forest,  diferentes métricas são utilizadas para medir a acurácia e a capacidade discriminativa do modelo. Associe cada métrica de classificação à sua principal característica:</w:t>
      </w:r>
    </w:p>
    <w:p w:rsidR="00000000" w:rsidDel="00000000" w:rsidP="00000000" w:rsidRDefault="00000000" w:rsidRPr="00000000" w14:paraId="0000008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Recall (Sensibilidade)</w:t>
        <w:br w:type="textWrapping"/>
        <w:t xml:space="preserve">B) Precisão (Precision)</w:t>
        <w:br w:type="textWrapping"/>
        <w:t xml:space="preserve">C) F1-score</w:t>
        <w:br w:type="textWrapping"/>
        <w:t xml:space="preserve">D) Curva ROC / AUC</w:t>
        <w:br w:type="textWrapping"/>
        <w:t xml:space="preserve">E) Acurácia (Accuracy)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Categorias de resposta: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Mede a proporção total de previsões corretas em relação ao número total de observações. ( E 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 a capacidade do modelo em identificar corretamente os exemplos da classe positiva. ( A )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 o equilíbrio entre precisão e recall por meio de sua média harmônica. ( C )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 a proporção de previsões positivas que estão corretas. (B  )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Mede a capacidade discriminativa do modelo em diferentes limiares de decisão. ( D )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 Data Science, os algoritmos de aprendizado de máquina podem ser classificados de acordo com a forma como aprendem a partir dos dados. Associe cada algoritmo ao tipo de aprendizado correspondente: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Categorias de resposta: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Aprendizado supervisionado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Aprendizado não supervisionado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Regressão Linear ( 1 )</w:t>
        <w:br w:type="textWrapping"/>
        <w:t xml:space="preserve">B) Árvore de Classificação (1  )</w:t>
        <w:br w:type="textWrapping"/>
        <w:t xml:space="preserve">C) Random Forest ( 1 )</w:t>
        <w:br w:type="textWrapping"/>
        <w:t xml:space="preserve">D) K-means (2  )</w:t>
        <w:br w:type="textWrapping"/>
        <w:t xml:space="preserve">E) PCA (Análise de Componentes Principais) ( 2)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Regina Bernal</w:t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02/02/2026</w:t>
      </w:r>
    </w:p>
    <w:sectPr>
      <w:headerReference r:id="rId7" w:type="default"/>
      <w:pgSz w:h="16840" w:w="11907" w:orient="portrait"/>
      <w:pgMar w:bottom="1134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0</wp:posOffset>
          </wp:positionV>
          <wp:extent cx="1728470" cy="3905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8470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61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211" w:hanging="360"/>
      </w:pPr>
      <w:rPr/>
    </w:lvl>
    <w:lvl w:ilvl="1">
      <w:start w:val="1"/>
      <w:numFmt w:val="upperLetter"/>
      <w:lvlText w:val="(%2)"/>
      <w:lvlJc w:val="left"/>
      <w:pPr>
        <w:ind w:left="1991" w:hanging="360"/>
      </w:pPr>
      <w:rPr>
        <w:rFonts w:ascii="Calibri" w:cs="Calibri" w:eastAsia="Calibri" w:hAnsi="Calibri"/>
      </w:rPr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upperLetter"/>
      <w:lvlText w:val="(%1)"/>
      <w:lvlJc w:val="left"/>
      <w:pPr>
        <w:ind w:left="108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upperLetter"/>
      <w:lvlText w:val="(%1)"/>
      <w:lvlJc w:val="left"/>
      <w:pPr>
        <w:ind w:left="144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)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upperLetter"/>
      <w:lvlText w:val="(%1)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upperLetter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