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26419"/>
          <w:spacing w:val="80"/>
          <w:sz w:val="18"/>
          <w:szCs w:val="18"/>
        </w:rPr>
        <w:t xml:space="preserve">OBSERVATOIRE DE LA SOUVERAINETÉ CULTURELLE NUMÉRIQUE</w:t>
      </w:r>
    </w:p>
    <w:p>
      <w:pPr>
        <w:pStyle w:val="Heading1"/>
        <w:spacing w:after="120" w:before="0"/>
      </w:pPr>
      <w:r>
        <w:rPr>
          <w:rFonts w:ascii="Arial" w:cs="Arial" w:eastAsia="Arial" w:hAnsi="Arial"/>
          <w:b/>
          <w:bCs/>
          <w:color w:val="2F4858"/>
          <w:sz w:val="36"/>
          <w:szCs w:val="36"/>
        </w:rPr>
        <w:t xml:space="preserve">Manifeste et cadre méthodologique</w:t>
      </w:r>
    </w:p>
    <w:p>
      <w:pPr>
        <w:spacing w:after="80"/>
      </w:pPr>
      <w:r>
        <w:rPr>
          <w:rFonts w:ascii="Arial" w:cs="Arial" w:eastAsia="Arial" w:hAnsi="Arial"/>
          <w:i/>
          <w:iCs/>
          <w:color w:val="6C828F"/>
          <w:sz w:val="22"/>
          <w:szCs w:val="22"/>
        </w:rPr>
        <w:t xml:space="preserve">Un observatoire indépendant des indicateurs de la Loi 109 au Québec</w:t>
      </w:r>
    </w:p>
    <w:p>
      <w:pPr>
        <w:spacing w:after="360"/>
      </w:pPr>
      <w:r>
        <w:rPr>
          <w:rFonts w:ascii="Arial" w:cs="Arial" w:eastAsia="Arial" w:hAnsi="Arial"/>
          <w:color w:val="6C828F"/>
          <w:sz w:val="18"/>
          <w:szCs w:val="18"/>
        </w:rPr>
        <w:t xml:space="preserve">Version 1.0 · Mai 2026 · Joao Roquer</w:t>
      </w:r>
    </w:p>
    <w:p>
      <w:pPr>
        <w:pBdr>
          <w:bottom w:val="single" w:color="33658A" w:sz="6" w:space="1"/>
        </w:pBdr>
        <w:spacing w:after="200" w:before="200"/>
      </w:pPr>
      <w:r>
        <w:t xml:space="preserve"/>
      </w:r>
    </w:p>
    <w:p>
      <w:pPr>
        <w:pStyle w:val="Heading2"/>
        <w:spacing w:after="120" w:before="360"/>
      </w:pPr>
      <w:r>
        <w:rPr>
          <w:rFonts w:ascii="Arial" w:cs="Arial" w:eastAsia="Arial" w:hAnsi="Arial"/>
          <w:b/>
          <w:bCs/>
          <w:color w:val="33658A"/>
          <w:sz w:val="26"/>
          <w:szCs w:val="26"/>
        </w:rPr>
        <w:t xml:space="preserve">Préambule</w:t>
      </w:r>
    </w:p>
    <w:p>
      <w:pPr>
        <w:spacing w:after="160" w:line="320"/>
        <w:jc w:val="both"/>
      </w:pPr>
      <w:r>
        <w:rPr>
          <w:rFonts w:ascii="Arial" w:cs="Arial" w:eastAsia="Arial" w:hAnsi="Arial"/>
          <w:sz w:val="22"/>
          <w:szCs w:val="22"/>
        </w:rPr>
        <w:t xml:space="preserve">Le 12 décembre 2025, le Québec a sanctionné la </w:t>
      </w:r>
      <w:r>
        <w:rPr>
          <w:rFonts w:ascii="Arial" w:cs="Arial" w:eastAsia="Arial" w:hAnsi="Arial"/>
          <w:i/>
          <w:iCs/>
          <w:sz w:val="22"/>
          <w:szCs w:val="22"/>
        </w:rPr>
        <w:t xml:space="preserve">Loi 109 — Loi affirmant la souveraineté culturelle du Québec et édictant la Loi sur la découvrabilité des contenus culturels francophones dans l’environnement numérique</w:t>
      </w:r>
      <w:r>
        <w:rPr>
          <w:rFonts w:ascii="Arial" w:cs="Arial" w:eastAsia="Arial" w:hAnsi="Arial"/>
          <w:sz w:val="22"/>
          <w:szCs w:val="22"/>
        </w:rPr>
        <w:t xml:space="preserve">. La souveraineté culturelle quitte alors le registre du discours pour entrer dans celui du droit positif. La </w:t>
      </w:r>
      <w:r>
        <w:rPr>
          <w:rFonts w:ascii="Arial" w:cs="Arial" w:eastAsia="Arial" w:hAnsi="Arial"/>
          <w:i/>
          <w:iCs/>
          <w:sz w:val="22"/>
          <w:szCs w:val="22"/>
        </w:rPr>
        <w:t xml:space="preserve">Charte des droits et libertés de la personne</w:t>
      </w:r>
      <w:r>
        <w:rPr>
          <w:rFonts w:ascii="Arial" w:cs="Arial" w:eastAsia="Arial" w:hAnsi="Arial"/>
          <w:sz w:val="22"/>
          <w:szCs w:val="22"/>
        </w:rPr>
        <w:t xml:space="preserve"> se voit augmentée d’un article 42.1 qui consacre, comme droit fondamental, l’accès et la découvrabilité des contenus culturels d’expression originale de langue française.</w:t>
      </w:r>
    </w:p>
    <w:p>
      <w:pPr>
        <w:pBdr>
          <w:left w:val="single" w:color="F26419" w:sz="24" w:space="12"/>
        </w:pBdr>
        <w:shd w:fill="FCE0D1" w:color="auto" w:val="clear"/>
        <w:spacing w:after="200" w:before="200" w:line="320"/>
        <w:ind w:left="360" w:right="360"/>
        <w:jc w:val="left"/>
      </w:pPr>
      <w:r>
        <w:rPr>
          <w:rFonts w:ascii="Arial" w:cs="Arial" w:eastAsia="Arial" w:hAnsi="Arial"/>
          <w:i/>
          <w:iCs/>
          <w:color w:val="2F4858"/>
          <w:sz w:val="22"/>
          <w:szCs w:val="22"/>
        </w:rPr>
        <w:t xml:space="preserve">« Toute personne a droit, dans la mesure et suivant les normes prévues par la loi, à la découvrabilité des contenus culturels d’expression originale de langue française et à l’accès à de tels contenus. »</w:t>
      </w:r>
      <w:r>
        <w:rPr>
          <w:rFonts w:ascii="Arial" w:cs="Arial" w:eastAsia="Arial" w:hAnsi="Arial"/>
          <w:color w:val="6C828F"/>
          <w:sz w:val="18"/>
          <w:szCs w:val="18"/>
        </w:rPr>
        <w:br/>
        <w:t xml:space="preserve">
— Charte des droits et libertés de la personne, art. 42.1 (inséré par la Loi 109, chapitre 38, 2025)</w:t>
      </w:r>
    </w:p>
    <w:p>
      <w:pPr>
        <w:spacing w:after="160" w:before="0" w:line="320"/>
        <w:jc w:val="both"/>
      </w:pPr>
      <w:r>
        <w:rPr>
          <w:rFonts w:ascii="Arial" w:cs="Arial" w:eastAsia="Arial" w:hAnsi="Arial"/>
          <w:sz w:val="22"/>
          <w:szCs w:val="22"/>
        </w:rPr>
        <w:t xml:space="preserve">Une loi, pour exister, demande à être mesurée. L’article 33 de la Loi 109 prévoit un rapport triennal officiel sur la « présence, la découvrabilité et la consommation » des contenus francophones dans l’environnement numérique. Trois ans, c’est long. Le rapport officiel ne sera ni continu, ni soumis au regard critique de la société civile au moment où il serait le plus utile.</w:t>
      </w:r>
    </w:p>
    <w:p>
      <w:pPr>
        <w:spacing w:after="160" w:line="320"/>
        <w:jc w:val="both"/>
      </w:pPr>
      <w:r>
        <w:rPr>
          <w:rFonts w:ascii="Arial" w:cs="Arial" w:eastAsia="Arial" w:hAnsi="Arial"/>
          <w:sz w:val="22"/>
          <w:szCs w:val="22"/>
        </w:rPr>
        <w:t xml:space="preserve">L’</w:t>
      </w:r>
      <w:r>
        <w:rPr>
          <w:rFonts w:ascii="Arial" w:cs="Arial" w:eastAsia="Arial" w:hAnsi="Arial"/>
          <w:b/>
          <w:bCs/>
          <w:sz w:val="22"/>
          <w:szCs w:val="22"/>
        </w:rPr>
        <w:t xml:space="preserve">Observatoire de la souveraineté culturelle numérique</w:t>
      </w:r>
      <w:r>
        <w:rPr>
          <w:rFonts w:ascii="Arial" w:cs="Arial" w:eastAsia="Arial" w:hAnsi="Arial"/>
          <w:sz w:val="22"/>
          <w:szCs w:val="22"/>
        </w:rPr>
        <w:t xml:space="preserve"> propose de combler cet espace.</w:t>
      </w:r>
    </w:p>
    <w:p>
      <w:pPr>
        <w:pStyle w:val="Heading2"/>
        <w:spacing w:after="120" w:before="360"/>
      </w:pPr>
      <w:r>
        <w:rPr>
          <w:rFonts w:ascii="Arial" w:cs="Arial" w:eastAsia="Arial" w:hAnsi="Arial"/>
          <w:b/>
          <w:bCs/>
          <w:color w:val="33658A"/>
          <w:sz w:val="26"/>
          <w:szCs w:val="26"/>
        </w:rPr>
        <w:t xml:space="preserve">Notre proposition</w:t>
      </w:r>
    </w:p>
    <w:p>
      <w:pPr>
        <w:spacing w:after="160" w:before="0" w:line="320"/>
        <w:jc w:val="both"/>
      </w:pPr>
      <w:r>
        <w:rPr>
          <w:rFonts w:ascii="Arial" w:cs="Arial" w:eastAsia="Arial" w:hAnsi="Arial"/>
          <w:sz w:val="22"/>
          <w:szCs w:val="22"/>
        </w:rPr>
        <w:t xml:space="preserve">Nous sommes un observatoire indépendant qui rend public, en continu et avec rigueur méthodologique, l’état des indicateurs de souveraineté culturelle numérique au Québec. Nous travaillons à partir des données ouvertes de l’Institut de la statistique du Québec (ISQ), de l’Observatoire de la culture et des communications du Québec (OCCQ), et d’autres sources publiques.</w:t>
      </w:r>
    </w:p>
    <w:p>
      <w:pPr>
        <w:spacing w:after="160" w:before="0" w:line="320"/>
        <w:jc w:val="both"/>
      </w:pPr>
      <w:r>
        <w:rPr>
          <w:rFonts w:ascii="Arial" w:cs="Arial" w:eastAsia="Arial" w:hAnsi="Arial"/>
          <w:sz w:val="22"/>
          <w:szCs w:val="22"/>
        </w:rPr>
        <w:t xml:space="preserve">Nous nous distinguons de trois écosystèmes voisins, sans nous y substituer. L’OCCQ produit la statistique neutre — c’est sa force et son périmètre ; nous mobilisons ses indicateurs dans un cadre interprétatif explicite, celui de la Loi 109. Le ministère de la Culture et des Communications du Québec (MCC) produira son rapport triennal officiel ; nous proposons un suivi continu, en marge du calendrier institutionnel, sans valeur réglementaire mais avec valeur de débat public. Les associations sectorielles défendent leurs filières ; nous gardons une vue transversale et nous abstenons des prises de position sectorielles.</w:t>
      </w:r>
    </w:p>
    <w:p>
      <w:pPr>
        <w:spacing w:after="200" w:line="320"/>
        <w:jc w:val="both"/>
      </w:pPr>
      <w:r>
        <w:rPr>
          <w:rFonts w:ascii="Arial" w:cs="Arial" w:eastAsia="Arial" w:hAnsi="Arial"/>
          <w:b/>
          <w:bCs/>
          <w:sz w:val="22"/>
          <w:szCs w:val="22"/>
        </w:rPr>
        <w:t xml:space="preserve">Notre crédibilité repose sur la qualité de la mesure, pas sur l’intensité du message.</w:t>
      </w:r>
    </w:p>
    <w:p>
      <w:pPr>
        <w:pStyle w:val="Heading2"/>
        <w:spacing w:after="120" w:before="360"/>
      </w:pPr>
      <w:r>
        <w:rPr>
          <w:rFonts w:ascii="Arial" w:cs="Arial" w:eastAsia="Arial" w:hAnsi="Arial"/>
          <w:b/>
          <w:bCs/>
          <w:color w:val="33658A"/>
          <w:sz w:val="26"/>
          <w:szCs w:val="26"/>
        </w:rPr>
        <w:t xml:space="preserve">Le cadre tripartite</w:t>
      </w:r>
    </w:p>
    <w:p>
      <w:pPr>
        <w:spacing w:after="160" w:before="0" w:line="320"/>
        <w:jc w:val="both"/>
      </w:pPr>
      <w:r>
        <w:rPr>
          <w:rFonts w:ascii="Arial" w:cs="Arial" w:eastAsia="Arial" w:hAnsi="Arial"/>
          <w:sz w:val="22"/>
          <w:szCs w:val="22"/>
        </w:rPr>
        <w:t xml:space="preserve">Nos indicateurs sont structurés selon les trois concepts inscrits à l’article 33 de la Loi 109.</w:t>
      </w:r>
    </w:p>
    <w:p>
      <w:pPr>
        <w:pStyle w:val="ListParagraph"/>
        <w:numPr>
          <w:ilvl w:val="0"/>
          <w:numId w:val="2"/>
        </w:numPr>
        <w:spacing w:after="120" w:line="320"/>
        <w:jc w:val="both"/>
      </w:pPr>
      <w:r>
        <w:rPr>
          <w:rFonts w:ascii="Arial" w:cs="Arial" w:eastAsia="Arial" w:hAnsi="Arial"/>
          <w:b/>
          <w:bCs/>
          <w:sz w:val="22"/>
          <w:szCs w:val="22"/>
        </w:rPr>
        <w:t xml:space="preserve">Présence — </w:t>
      </w:r>
      <w:r>
        <w:rPr>
          <w:rFonts w:ascii="Arial" w:cs="Arial" w:eastAsia="Arial" w:hAnsi="Arial"/>
          <w:sz w:val="22"/>
          <w:szCs w:val="22"/>
        </w:rPr>
        <w:t xml:space="preserve">Quels contenus québécois francophones existent et sont accessibles dans l’environnement numérique ?</w:t>
      </w:r>
    </w:p>
    <w:p>
      <w:pPr>
        <w:pStyle w:val="ListParagraph"/>
        <w:numPr>
          <w:ilvl w:val="0"/>
          <w:numId w:val="2"/>
        </w:numPr>
        <w:spacing w:after="120" w:line="320"/>
        <w:jc w:val="both"/>
      </w:pPr>
      <w:r>
        <w:rPr>
          <w:rFonts w:ascii="Arial" w:cs="Arial" w:eastAsia="Arial" w:hAnsi="Arial"/>
          <w:b/>
          <w:bCs/>
          <w:sz w:val="22"/>
          <w:szCs w:val="22"/>
        </w:rPr>
        <w:t xml:space="preserve">Découvrabilité — </w:t>
      </w:r>
      <w:r>
        <w:rPr>
          <w:rFonts w:ascii="Arial" w:cs="Arial" w:eastAsia="Arial" w:hAnsi="Arial"/>
          <w:sz w:val="22"/>
          <w:szCs w:val="22"/>
        </w:rPr>
        <w:t xml:space="preserve">Sont-ils repérables, en particulier par une personne qui n’en fait pas la recherche ?</w:t>
      </w:r>
    </w:p>
    <w:p>
      <w:pPr>
        <w:pStyle w:val="ListParagraph"/>
        <w:numPr>
          <w:ilvl w:val="0"/>
          <w:numId w:val="2"/>
        </w:numPr>
        <w:spacing w:after="120" w:line="320"/>
        <w:jc w:val="both"/>
      </w:pPr>
      <w:r>
        <w:rPr>
          <w:rFonts w:ascii="Arial" w:cs="Arial" w:eastAsia="Arial" w:hAnsi="Arial"/>
          <w:b/>
          <w:bCs/>
          <w:sz w:val="22"/>
          <w:szCs w:val="22"/>
        </w:rPr>
        <w:t xml:space="preserve">Consommation — </w:t>
      </w:r>
      <w:r>
        <w:rPr>
          <w:rFonts w:ascii="Arial" w:cs="Arial" w:eastAsia="Arial" w:hAnsi="Arial"/>
          <w:sz w:val="22"/>
          <w:szCs w:val="22"/>
        </w:rPr>
        <w:t xml:space="preserve">Sont-ils effectivement écoutés, visionnés, lus ?</w:t>
      </w:r>
    </w:p>
    <w:p>
      <w:pPr>
        <w:spacing w:after="160" w:before="0" w:line="320"/>
        <w:jc w:val="both"/>
      </w:pPr>
      <w:r>
        <w:rPr>
          <w:rFonts w:ascii="Arial" w:cs="Arial" w:eastAsia="Arial" w:hAnsi="Arial"/>
          <w:sz w:val="22"/>
          <w:szCs w:val="22"/>
        </w:rPr>
        <w:t xml:space="preserve">À ces trois axes, nous ajoutons deux dimensions complémentaires.</w:t>
      </w:r>
    </w:p>
    <w:p>
      <w:pPr>
        <w:pStyle w:val="ListParagraph"/>
        <w:numPr>
          <w:ilvl w:val="0"/>
          <w:numId w:val="2"/>
        </w:numPr>
        <w:spacing w:after="120" w:line="320"/>
        <w:jc w:val="both"/>
      </w:pPr>
      <w:r>
        <w:rPr>
          <w:rFonts w:ascii="Arial" w:cs="Arial" w:eastAsia="Arial" w:hAnsi="Arial"/>
          <w:b/>
          <w:bCs/>
          <w:sz w:val="22"/>
          <w:szCs w:val="22"/>
        </w:rPr>
        <w:t xml:space="preserve">Écosystème de production — </w:t>
      </w:r>
      <w:r>
        <w:rPr>
          <w:rFonts w:ascii="Arial" w:cs="Arial" w:eastAsia="Arial" w:hAnsi="Arial"/>
          <w:sz w:val="22"/>
          <w:szCs w:val="22"/>
        </w:rPr>
        <w:t xml:space="preserve">la capacité productive (entreprises, emplois, financement) qui rend possibles la présence et la découvrabilité.</w:t>
      </w:r>
    </w:p>
    <w:p>
      <w:pPr>
        <w:pStyle w:val="ListParagraph"/>
        <w:numPr>
          <w:ilvl w:val="0"/>
          <w:numId w:val="2"/>
        </w:numPr>
        <w:spacing w:after="120" w:line="320"/>
        <w:jc w:val="both"/>
      </w:pPr>
      <w:r>
        <w:rPr>
          <w:rFonts w:ascii="Arial" w:cs="Arial" w:eastAsia="Arial" w:hAnsi="Arial"/>
          <w:b/>
          <w:bCs/>
          <w:sz w:val="22"/>
          <w:szCs w:val="22"/>
        </w:rPr>
        <w:t xml:space="preserve">Angles morts — </w:t>
      </w:r>
      <w:r>
        <w:rPr>
          <w:rFonts w:ascii="Arial" w:cs="Arial" w:eastAsia="Arial" w:hAnsi="Arial"/>
          <w:sz w:val="22"/>
          <w:szCs w:val="22"/>
        </w:rPr>
        <w:t xml:space="preserve">ce que la statistique publique ne mesure pas aujourd’hui, et ce que les régulations à venir devraient permettre de mesurer.</w:t>
      </w:r>
    </w:p>
    <w:p>
      <w:pPr>
        <w:pStyle w:val="Heading2"/>
        <w:spacing w:after="120" w:before="360"/>
      </w:pPr>
      <w:r>
        <w:rPr>
          <w:rFonts w:ascii="Arial" w:cs="Arial" w:eastAsia="Arial" w:hAnsi="Arial"/>
          <w:b/>
          <w:bCs/>
          <w:color w:val="33658A"/>
          <w:sz w:val="26"/>
          <w:szCs w:val="26"/>
        </w:rPr>
        <w:t xml:space="preserve">Sources et traçabilité</w:t>
      </w:r>
    </w:p>
    <w:p>
      <w:pPr>
        <w:spacing w:after="160" w:before="0" w:line="320"/>
        <w:jc w:val="both"/>
      </w:pPr>
      <w:r>
        <w:rPr>
          <w:rFonts w:ascii="Arial" w:cs="Arial" w:eastAsia="Arial" w:hAnsi="Arial"/>
          <w:sz w:val="22"/>
          <w:szCs w:val="22"/>
        </w:rPr>
        <w:t xml:space="preserve">Toutes les données mobilisées sont publiques. Pour chaque indicateur publié, nous documentons :</w:t>
      </w:r>
    </w:p>
    <w:p>
      <w:pPr>
        <w:pStyle w:val="ListParagraph"/>
        <w:numPr>
          <w:ilvl w:val="0"/>
          <w:numId w:val="2"/>
        </w:numPr>
        <w:spacing w:after="120" w:line="320"/>
        <w:jc w:val="both"/>
      </w:pPr>
      <w:r>
        <w:rPr>
          <w:rFonts w:ascii="Arial" w:cs="Arial" w:eastAsia="Arial" w:hAnsi="Arial"/>
          <w:sz w:val="22"/>
          <w:szCs w:val="22"/>
        </w:rPr>
        <w:t xml:space="preserve">la source primaire (tableau ISQ, document MCC, etc.) avec son lien permanent ;</w:t>
      </w:r>
    </w:p>
    <w:p>
      <w:pPr>
        <w:pStyle w:val="ListParagraph"/>
        <w:numPr>
          <w:ilvl w:val="0"/>
          <w:numId w:val="2"/>
        </w:numPr>
        <w:spacing w:after="120" w:line="320"/>
        <w:jc w:val="both"/>
      </w:pPr>
      <w:r>
        <w:rPr>
          <w:rFonts w:ascii="Arial" w:cs="Arial" w:eastAsia="Arial" w:hAnsi="Arial"/>
          <w:sz w:val="22"/>
          <w:szCs w:val="22"/>
        </w:rPr>
        <w:t xml:space="preserve">la date de téléchargement, parce que les données désaisonnalisées sont révisées à chaque mise à jour ;</w:t>
      </w:r>
    </w:p>
    <w:p>
      <w:pPr>
        <w:pStyle w:val="ListParagraph"/>
        <w:numPr>
          <w:ilvl w:val="0"/>
          <w:numId w:val="2"/>
        </w:numPr>
        <w:spacing w:after="120" w:line="320"/>
        <w:jc w:val="both"/>
      </w:pPr>
      <w:r>
        <w:rPr>
          <w:rFonts w:ascii="Arial" w:cs="Arial" w:eastAsia="Arial" w:hAnsi="Arial"/>
          <w:sz w:val="22"/>
          <w:szCs w:val="22"/>
        </w:rPr>
        <w:t xml:space="preserve">la version de classification (SCIAN 2022, SCACCQ 2004, etc.) ;</w:t>
      </w:r>
    </w:p>
    <w:p>
      <w:pPr>
        <w:pStyle w:val="ListParagraph"/>
        <w:numPr>
          <w:ilvl w:val="0"/>
          <w:numId w:val="2"/>
        </w:numPr>
        <w:spacing w:after="120" w:line="320"/>
        <w:jc w:val="both"/>
      </w:pPr>
      <w:r>
        <w:rPr>
          <w:rFonts w:ascii="Arial" w:cs="Arial" w:eastAsia="Arial" w:hAnsi="Arial"/>
          <w:sz w:val="22"/>
          <w:szCs w:val="22"/>
        </w:rPr>
        <w:t xml:space="preserve">les marqueurs et exclusions (séries terminées, données infimes, coefficients de variation élevés) ;</w:t>
      </w:r>
    </w:p>
    <w:p>
      <w:pPr>
        <w:pStyle w:val="ListParagraph"/>
        <w:numPr>
          <w:ilvl w:val="0"/>
          <w:numId w:val="2"/>
        </w:numPr>
        <w:spacing w:after="120" w:line="320"/>
        <w:jc w:val="both"/>
      </w:pPr>
      <w:r>
        <w:rPr>
          <w:rFonts w:ascii="Arial" w:cs="Arial" w:eastAsia="Arial" w:hAnsi="Arial"/>
          <w:sz w:val="22"/>
          <w:szCs w:val="22"/>
        </w:rPr>
        <w:t xml:space="preserve">le code de transformation utilisé, lorsqu’applicable.</w:t>
      </w:r>
    </w:p>
    <w:p>
      <w:pPr>
        <w:spacing w:after="160" w:before="0" w:line="320"/>
        <w:jc w:val="both"/>
      </w:pPr>
      <w:r>
        <w:rPr>
          <w:rFonts w:ascii="Arial" w:cs="Arial" w:eastAsia="Arial" w:hAnsi="Arial"/>
          <w:sz w:val="22"/>
          <w:szCs w:val="22"/>
        </w:rPr>
        <w:t xml:space="preserve">Toute la chaîne de traitement est reproductible. Tous les fichiers intermédiaires sont conservés.</w:t>
      </w:r>
    </w:p>
    <w:p>
      <w:pPr>
        <w:pStyle w:val="Heading2"/>
        <w:spacing w:after="120" w:before="360"/>
      </w:pPr>
      <w:r>
        <w:rPr>
          <w:rFonts w:ascii="Arial" w:cs="Arial" w:eastAsia="Arial" w:hAnsi="Arial"/>
          <w:b/>
          <w:bCs/>
          <w:color w:val="33658A"/>
          <w:sz w:val="26"/>
          <w:szCs w:val="26"/>
        </w:rPr>
        <w:t xml:space="preserve">Limites assumées</w:t>
      </w:r>
    </w:p>
    <w:p>
      <w:pPr>
        <w:spacing w:after="160" w:before="0" w:line="320"/>
        <w:jc w:val="both"/>
      </w:pPr>
      <w:r>
        <w:rPr>
          <w:rFonts w:ascii="Arial" w:cs="Arial" w:eastAsia="Arial" w:hAnsi="Arial"/>
          <w:sz w:val="22"/>
          <w:szCs w:val="22"/>
        </w:rPr>
        <w:t xml:space="preserve">Trois limites structurent ce que nous pouvons et ne pouvons pas dire.</w:t>
      </w:r>
    </w:p>
    <w:p>
      <w:pPr>
        <w:spacing w:after="160" w:line="320"/>
        <w:jc w:val="both"/>
      </w:pPr>
      <w:r>
        <w:rPr>
          <w:rFonts w:ascii="Arial" w:cs="Arial" w:eastAsia="Arial" w:hAnsi="Arial"/>
          <w:b/>
          <w:bCs/>
          <w:sz w:val="22"/>
          <w:szCs w:val="22"/>
        </w:rPr>
        <w:t xml:space="preserve">Le périmètre de l’EERH. </w:t>
      </w:r>
      <w:r>
        <w:rPr>
          <w:rFonts w:ascii="Arial" w:cs="Arial" w:eastAsia="Arial" w:hAnsi="Arial"/>
          <w:sz w:val="22"/>
          <w:szCs w:val="22"/>
        </w:rPr>
        <w:t xml:space="preserve">Pour l’emploi culturel, nous nous appuyons sur l’Enquête sur l’emploi, la rémunération et les heures de travail (EERH) de Statistique Canada, adaptée par l’ISQ. Cette enquête exclut explicitement les travailleurs autonomes, les associés non incorporés et les pigistes sans T4. Or les arts d’interprétation, l’audiovisuel et la musique sont fortement pigistes au Québec. L’EERH est notre meilleure source pour le moment, mais elle sous-estime la main-d’œuvre culturelle réelle. Cette limite est signalée à chaque mobilisation.</w:t>
      </w:r>
    </w:p>
    <w:p>
      <w:pPr>
        <w:spacing w:after="160" w:line="320"/>
        <w:jc w:val="both"/>
      </w:pPr>
      <w:r>
        <w:rPr>
          <w:rFonts w:ascii="Arial" w:cs="Arial" w:eastAsia="Arial" w:hAnsi="Arial"/>
          <w:b/>
          <w:bCs/>
          <w:sz w:val="22"/>
          <w:szCs w:val="22"/>
        </w:rPr>
        <w:t xml:space="preserve">L’opacité des plateformes. </w:t>
      </w:r>
      <w:r>
        <w:rPr>
          <w:rFonts w:ascii="Arial" w:cs="Arial" w:eastAsia="Arial" w:hAnsi="Arial"/>
          <w:sz w:val="22"/>
          <w:szCs w:val="22"/>
        </w:rPr>
        <w:t xml:space="preserve">La découvrabilité au sens algorithmique — comment les recommandations de Spotify, YouTube, Netflix ou Apple TV+ traitent les contenus québécois francophones — n’est pas mesurable depuis l’extérieur des plateformes. Les recommandations 25 et 26 du </w:t>
      </w:r>
      <w:r>
        <w:rPr>
          <w:rFonts w:ascii="Arial" w:cs="Arial" w:eastAsia="Arial" w:hAnsi="Arial"/>
          <w:i/>
          <w:iCs/>
          <w:sz w:val="22"/>
          <w:szCs w:val="22"/>
        </w:rPr>
        <w:t xml:space="preserve">Rapport du Comité-conseil sur la découvrabilité</w:t>
      </w:r>
      <w:r>
        <w:rPr>
          <w:rFonts w:ascii="Arial" w:cs="Arial" w:eastAsia="Arial" w:hAnsi="Arial"/>
          <w:sz w:val="22"/>
          <w:szCs w:val="22"/>
        </w:rPr>
        <w:t xml:space="preserve"> (janvier 2024) appellent précisément à corriger cette asymétrie informationnelle. En attendant l’entrée en vigueur des règlements de la Loi 109, nous utilisons les palmarès et la part de la consommation effective comme proxies imparfaits.</w:t>
      </w:r>
    </w:p>
    <w:p>
      <w:pPr>
        <w:spacing w:after="200" w:line="320"/>
        <w:jc w:val="both"/>
      </w:pPr>
      <w:r>
        <w:rPr>
          <w:rFonts w:ascii="Arial" w:cs="Arial" w:eastAsia="Arial" w:hAnsi="Arial"/>
          <w:b/>
          <w:bCs/>
          <w:sz w:val="22"/>
          <w:szCs w:val="22"/>
        </w:rPr>
        <w:t xml:space="preserve">Les révisions ISQ. </w:t>
      </w:r>
      <w:r>
        <w:rPr>
          <w:rFonts w:ascii="Arial" w:cs="Arial" w:eastAsia="Arial" w:hAnsi="Arial"/>
          <w:sz w:val="22"/>
          <w:szCs w:val="22"/>
        </w:rPr>
        <w:t xml:space="preserve">Les statistiques mensuelles désaisonnalisées sont révisées à chaque mise à jour par Statistique Canada et l’ISQ. Toute publication fige la date de téléchargement et accepte que des révisions ultérieures puissent modifier des chiffres déjà publiés. La version de la donnée mobilisée est systématiquement indiquée.</w:t>
      </w:r>
    </w:p>
    <w:p>
      <w:pPr>
        <w:pStyle w:val="Heading2"/>
        <w:spacing w:after="120" w:before="360"/>
      </w:pPr>
      <w:r>
        <w:rPr>
          <w:rFonts w:ascii="Arial" w:cs="Arial" w:eastAsia="Arial" w:hAnsi="Arial"/>
          <w:b/>
          <w:bCs/>
          <w:color w:val="33658A"/>
          <w:sz w:val="26"/>
          <w:szCs w:val="26"/>
        </w:rPr>
        <w:t xml:space="preserve">Cadence et formats</w:t>
      </w:r>
    </w:p>
    <w:p>
      <w:pPr>
        <w:spacing w:after="160" w:before="0" w:line="320"/>
        <w:jc w:val="both"/>
      </w:pPr>
      <w:r>
        <w:rPr>
          <w:rFonts w:ascii="Arial" w:cs="Arial" w:eastAsia="Arial" w:hAnsi="Arial"/>
          <w:sz w:val="22"/>
          <w:szCs w:val="22"/>
        </w:rPr>
        <w:t xml:space="preserve">Notre cadence de référence est trimestrielle, calée sur les rythmes de mise à jour de l’ISQ. Quatre numéros par an, chaque numéro consacré à une question précise inscrite dans l’actualité politique ou statistique.</w:t>
      </w:r>
    </w:p>
    <w:p>
      <w:pPr>
        <w:spacing w:after="160" w:before="0" w:line="320"/>
        <w:jc w:val="both"/>
      </w:pPr>
      <w:r>
        <w:rPr>
          <w:rFonts w:ascii="Arial" w:cs="Arial" w:eastAsia="Arial" w:hAnsi="Arial"/>
          <w:sz w:val="22"/>
          <w:szCs w:val="22"/>
        </w:rPr>
        <w:t xml:space="preserve">Trois formats coexistent et se complètent.</w:t>
      </w:r>
    </w:p>
    <w:p>
      <w:pPr>
        <w:pStyle w:val="ListParagraph"/>
        <w:numPr>
          <w:ilvl w:val="0"/>
          <w:numId w:val="2"/>
        </w:numPr>
        <w:spacing w:after="120" w:line="320"/>
        <w:jc w:val="both"/>
      </w:pPr>
      <w:r>
        <w:rPr>
          <w:rFonts w:ascii="Arial" w:cs="Arial" w:eastAsia="Arial" w:hAnsi="Arial"/>
          <w:b/>
          <w:bCs/>
          <w:sz w:val="22"/>
          <w:szCs w:val="22"/>
        </w:rPr>
        <w:t xml:space="preserve">Le tableau de bord en ligne, </w:t>
      </w:r>
      <w:r>
        <w:rPr>
          <w:rFonts w:ascii="Arial" w:cs="Arial" w:eastAsia="Arial" w:hAnsi="Arial"/>
          <w:sz w:val="22"/>
          <w:szCs w:val="22"/>
        </w:rPr>
        <w:t xml:space="preserve">actualisé avec chaque numéro et structuré selon les cinq axes (présence, découvrabilité, consommation, écosystème, angles morts).</w:t>
      </w:r>
    </w:p>
    <w:p>
      <w:pPr>
        <w:pStyle w:val="ListParagraph"/>
        <w:numPr>
          <w:ilvl w:val="0"/>
          <w:numId w:val="2"/>
        </w:numPr>
        <w:spacing w:after="120" w:line="320"/>
        <w:jc w:val="both"/>
      </w:pPr>
      <w:r>
        <w:rPr>
          <w:rFonts w:ascii="Arial" w:cs="Arial" w:eastAsia="Arial" w:hAnsi="Arial"/>
          <w:b/>
          <w:bCs/>
          <w:sz w:val="22"/>
          <w:szCs w:val="22"/>
        </w:rPr>
        <w:t xml:space="preserve">La note d’analyse, </w:t>
      </w:r>
      <w:r>
        <w:rPr>
          <w:rFonts w:ascii="Arial" w:cs="Arial" w:eastAsia="Arial" w:hAnsi="Arial"/>
          <w:sz w:val="22"/>
          <w:szCs w:val="22"/>
        </w:rPr>
        <w:t xml:space="preserve">de 800 à 1 500 mots, qui exploite un indicateur ou une problématique pour la mettre en relation avec le cadre Loi 109.</w:t>
      </w:r>
    </w:p>
    <w:p>
      <w:pPr>
        <w:pStyle w:val="ListParagraph"/>
        <w:numPr>
          <w:ilvl w:val="0"/>
          <w:numId w:val="2"/>
        </w:numPr>
        <w:spacing w:after="120" w:line="320"/>
        <w:jc w:val="both"/>
      </w:pPr>
      <w:r>
        <w:rPr>
          <w:rFonts w:ascii="Arial" w:cs="Arial" w:eastAsia="Arial" w:hAnsi="Arial"/>
          <w:b/>
          <w:bCs/>
          <w:sz w:val="22"/>
          <w:szCs w:val="22"/>
        </w:rPr>
        <w:t xml:space="preserve">Le dépôt de données ouvertes, </w:t>
      </w:r>
      <w:r>
        <w:rPr>
          <w:rFonts w:ascii="Arial" w:cs="Arial" w:eastAsia="Arial" w:hAnsi="Arial"/>
          <w:sz w:val="22"/>
          <w:szCs w:val="22"/>
        </w:rPr>
        <w:t xml:space="preserve">accessible publiquement, contenant les jeux de données nettoyés, les scripts de transformation et le code source du tableau de bord.</w:t>
      </w:r>
    </w:p>
    <w:p>
      <w:pPr>
        <w:pStyle w:val="Heading2"/>
        <w:spacing w:after="120" w:before="360"/>
      </w:pPr>
      <w:r>
        <w:rPr>
          <w:rFonts w:ascii="Arial" w:cs="Arial" w:eastAsia="Arial" w:hAnsi="Arial"/>
          <w:b/>
          <w:bCs/>
          <w:color w:val="33658A"/>
          <w:sz w:val="26"/>
          <w:szCs w:val="26"/>
        </w:rPr>
        <w:t xml:space="preserve">Éthique éditoriale</w:t>
      </w:r>
    </w:p>
    <w:p>
      <w:pPr>
        <w:spacing w:after="160" w:line="320"/>
        <w:jc w:val="both"/>
      </w:pPr>
      <w:r>
        <w:rPr>
          <w:rFonts w:ascii="Arial" w:cs="Arial" w:eastAsia="Arial" w:hAnsi="Arial"/>
          <w:sz w:val="22"/>
          <w:szCs w:val="22"/>
        </w:rPr>
        <w:t xml:space="preserve">Nous ne publions rien sans pouvoir documenter la chaîne complète : </w:t>
      </w:r>
      <w:r>
        <w:rPr>
          <w:rFonts w:ascii="Arial" w:cs="Arial" w:eastAsia="Arial" w:hAnsi="Arial"/>
          <w:i/>
          <w:iCs/>
          <w:sz w:val="22"/>
          <w:szCs w:val="22"/>
        </w:rPr>
        <w:t xml:space="preserve">source → transformation → représentation</w:t>
      </w:r>
      <w:r>
        <w:rPr>
          <w:rFonts w:ascii="Arial" w:cs="Arial" w:eastAsia="Arial" w:hAnsi="Arial"/>
          <w:sz w:val="22"/>
          <w:szCs w:val="22"/>
        </w:rPr>
        <w:t xml:space="preserve">. Nous signalons les incertitudes plutôt que de les masquer. Nous indiquons clairement les passages où nous franchissons la ligne entre le constat empirique et l’interprétation politique. Nous accueillons les corrections et publions les errata.</w:t>
      </w:r>
    </w:p>
    <w:p>
      <w:pPr>
        <w:spacing w:after="160" w:before="0" w:line="320"/>
        <w:jc w:val="both"/>
      </w:pPr>
      <w:r>
        <w:rPr>
          <w:rFonts w:ascii="Arial" w:cs="Arial" w:eastAsia="Arial" w:hAnsi="Arial"/>
          <w:sz w:val="22"/>
          <w:szCs w:val="22"/>
        </w:rPr>
        <w:t xml:space="preserve">Nous respectons l’indépendance des sources que nous mobilisons. L’OCCQ, l’ISQ et le MCC ne sont pas des partenaires — ce sont des producteurs publics dont nous citons les travaux. Toute communication de notre part qui pourrait laisser entendre une co-production ou une caution institutionnelle est évitée.</w:t>
      </w:r>
    </w:p>
    <w:p>
      <w:pPr>
        <w:pStyle w:val="Heading2"/>
        <w:spacing w:after="120" w:before="360"/>
      </w:pPr>
      <w:r>
        <w:rPr>
          <w:rFonts w:ascii="Arial" w:cs="Arial" w:eastAsia="Arial" w:hAnsi="Arial"/>
          <w:b/>
          <w:bCs/>
          <w:color w:val="33658A"/>
          <w:sz w:val="26"/>
          <w:szCs w:val="26"/>
        </w:rPr>
        <w:t xml:space="preserve">Gouvernance</w:t>
      </w:r>
    </w:p>
    <w:p>
      <w:pPr>
        <w:spacing w:after="160" w:before="0" w:line="320"/>
        <w:jc w:val="both"/>
      </w:pPr>
      <w:r>
        <w:rPr>
          <w:rFonts w:ascii="Arial" w:cs="Arial" w:eastAsia="Arial" w:hAnsi="Arial"/>
          <w:sz w:val="22"/>
          <w:szCs w:val="22"/>
        </w:rPr>
        <w:t xml:space="preserve">Cet observatoire est porté par Joao Roquer, analyste en politiques culturelles numériques et développeur d’outils civiques. Il fonctionne en projet indépendant, sans financement gouvernemental ni dépendance à un acteur sectoriel. Cette autonomie est la condition de la posture critique.</w:t>
      </w:r>
    </w:p>
    <w:p>
      <w:pPr>
        <w:spacing w:after="160" w:before="0" w:line="320"/>
        <w:jc w:val="both"/>
      </w:pPr>
      <w:r>
        <w:rPr>
          <w:rFonts w:ascii="Arial" w:cs="Arial" w:eastAsia="Arial" w:hAnsi="Arial"/>
          <w:sz w:val="22"/>
          <w:szCs w:val="22"/>
        </w:rPr>
        <w:t xml:space="preserve">Les contributions externes sont bienvenues — corrections de données, suggestions d’indicateurs, demandes de croisements particuliers. Toute contribution est tracée et créditée.</w:t>
      </w:r>
    </w:p>
    <w:p>
      <w:pPr>
        <w:pStyle w:val="Heading2"/>
        <w:spacing w:after="120" w:before="360"/>
      </w:pPr>
      <w:r>
        <w:rPr>
          <w:rFonts w:ascii="Arial" w:cs="Arial" w:eastAsia="Arial" w:hAnsi="Arial"/>
          <w:b/>
          <w:bCs/>
          <w:color w:val="33658A"/>
          <w:sz w:val="26"/>
          <w:szCs w:val="26"/>
        </w:rPr>
        <w:t xml:space="preserve">Pour suivre nos travaux</w:t>
      </w:r>
    </w:p>
    <w:p>
      <w:pPr>
        <w:pStyle w:val="ListParagraph"/>
        <w:numPr>
          <w:ilvl w:val="0"/>
          <w:numId w:val="2"/>
        </w:numPr>
        <w:spacing w:after="120" w:line="320"/>
        <w:jc w:val="both"/>
      </w:pPr>
      <w:r>
        <w:rPr>
          <w:rFonts w:ascii="Arial" w:cs="Arial" w:eastAsia="Arial" w:hAnsi="Arial"/>
          <w:sz w:val="22"/>
          <w:szCs w:val="22"/>
        </w:rPr>
        <w:t xml:space="preserve">Site web : à venir</w:t>
      </w:r>
    </w:p>
    <w:p>
      <w:pPr>
        <w:pStyle w:val="ListParagraph"/>
        <w:numPr>
          <w:ilvl w:val="0"/>
          <w:numId w:val="2"/>
        </w:numPr>
        <w:spacing w:after="120" w:line="320"/>
        <w:jc w:val="both"/>
      </w:pPr>
      <w:r>
        <w:rPr>
          <w:rFonts w:ascii="Arial" w:cs="Arial" w:eastAsia="Arial" w:hAnsi="Arial"/>
          <w:sz w:val="22"/>
          <w:szCs w:val="22"/>
        </w:rPr>
        <w:t xml:space="preserve">Dépôt GitHub : à venir</w:t>
      </w:r>
    </w:p>
    <w:p>
      <w:pPr>
        <w:pStyle w:val="ListParagraph"/>
        <w:numPr>
          <w:ilvl w:val="0"/>
          <w:numId w:val="2"/>
        </w:numPr>
        <w:spacing w:after="120" w:line="320"/>
        <w:jc w:val="both"/>
      </w:pPr>
      <w:r>
        <w:rPr>
          <w:rFonts w:ascii="Arial" w:cs="Arial" w:eastAsia="Arial" w:hAnsi="Arial"/>
          <w:sz w:val="22"/>
          <w:szCs w:val="22"/>
        </w:rPr>
        <w:t xml:space="preserve">Adresse courriel : à venir</w:t>
      </w:r>
    </w:p>
    <w:p>
      <w:pPr>
        <w:pBdr>
          <w:bottom w:val="single" w:color="33658A" w:sz="6" w:space="1"/>
        </w:pBdr>
        <w:spacing w:after="200" w:before="200"/>
      </w:pPr>
      <w:r>
        <w:t xml:space="preserve"/>
      </w:r>
    </w:p>
    <w:p>
      <w:pPr>
        <w:spacing w:after="80" w:before="0"/>
      </w:pPr>
      <w:r>
        <w:rPr>
          <w:rFonts w:ascii="Arial" w:cs="Arial" w:eastAsia="Arial" w:hAnsi="Arial"/>
          <w:b/>
          <w:bCs/>
          <w:color w:val="6C828F"/>
          <w:spacing w:val="30"/>
          <w:sz w:val="18"/>
          <w:szCs w:val="18"/>
        </w:rPr>
        <w:t xml:space="preserve">Citation recommandée</w:t>
      </w:r>
    </w:p>
    <w:p>
      <w:pPr>
        <w:spacing w:after="160" w:line="320"/>
      </w:pPr>
      <w:r>
        <w:rPr>
          <w:rFonts w:ascii="Arial" w:cs="Arial" w:eastAsia="Arial" w:hAnsi="Arial"/>
          <w:i/>
          <w:iCs/>
          <w:color w:val="2F4858"/>
          <w:sz w:val="20"/>
          <w:szCs w:val="20"/>
        </w:rPr>
        <w:t xml:space="preserve">Roquer, J. (2026). Observatoire de la souveraineté culturelle numérique — Manifeste et cadre méthodologique (Version 1.0). Document indépendant, mai 2026.</w:t>
      </w:r>
    </w:p>
    <w:sectPr>
      <w:headerReference w:type="default" r:id="rId7"/>
      <w:footerReference w:type="default" r:id="rId8"/>
      <w:pgSz w:w="12240" w:h="15840" w:orient="portrait"/>
      <w:pgMar w:top="1700" w:right="1700" w:bottom="15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Arial" w:cs="Arial" w:eastAsia="Arial" w:hAnsi="Arial"/>
        <w:color w:val="6C828F"/>
        <w:sz w:val="16"/>
        <w:szCs w:val="16"/>
      </w:rPr>
      <w:t xml:space="preserve">Manifeste · Version 1.0 · Mai 2026</w:t>
    </w:r>
    <w:r>
      <w:rPr>
        <w:rFonts w:ascii="Arial" w:cs="Arial" w:eastAsia="Arial" w:hAnsi="Arial"/>
      </w:rPr>
      <w:t xml:space="preserve">	</w:t>
    </w:r>
    <w:r>
      <w:rPr>
        <w:rFonts w:ascii="Arial" w:cs="Arial" w:eastAsia="Arial" w:hAnsi="Arial"/>
      </w:rPr>
      <w:t xml:space="preserve">	</w:t>
    </w:r>
    <w:r>
      <w:rPr>
        <w:rFonts w:ascii="Arial" w:cs="Arial" w:eastAsia="Arial" w:hAnsi="Arial"/>
        <w:color w:val="6C828F"/>
        <w:sz w:val="16"/>
        <w:szCs w:val="16"/>
      </w:rPr>
      <w:t xml:space="preserve">Page </w:t>
    </w:r>
    <w:r>
      <w:rPr>
        <w:rFonts w:ascii="Arial" w:cs="Arial" w:eastAsia="Arial" w:hAnsi="Arial"/>
        <w:color w:val="6C828F"/>
        <w:sz w:val="16"/>
        <w:szCs w:val="16"/>
      </w:rPr>
      <w:fldChar w:fldCharType="begin"/>
      <w:instrText xml:space="preserve">PAGE</w:instrText>
      <w:fldChar w:fldCharType="separate"/>
      <w:fldChar w:fldCharType="end"/>
    </w:r>
    <w:r>
      <w:rPr>
        <w:rFonts w:ascii="Arial" w:cs="Arial" w:eastAsia="Arial" w:hAnsi="Arial"/>
        <w:color w:val="6C828F"/>
        <w:sz w:val="16"/>
        <w:szCs w:val="16"/>
      </w:rPr>
      <w:t xml:space="preserve"> / </w:t>
    </w:r>
    <w:r>
      <w:rPr>
        <w:rFonts w:ascii="Arial" w:cs="Arial" w:eastAsia="Arial" w:hAnsi="Arial"/>
        <w:color w:val="6C82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C828F"/>
        <w:spacing w:val="30"/>
        <w:sz w:val="16"/>
        <w:szCs w:val="16"/>
      </w:rPr>
      <w:t xml:space="preserve">OBSERVATOIRE DE LA SOUVERAINETÉ CULTURELLE NUMÉRIQUE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F485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3365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Manifeste — Observatoire de la souveraineté culturelle numérique</dc:title>
  <dc:creator>Joao Roquer</dc:creator>
  <dc:description>Cadre éditorial et méthodologique</dc:description>
  <cp:lastModifiedBy>Un-named</cp:lastModifiedBy>
  <cp:revision>1</cp:revision>
  <dcterms:created xsi:type="dcterms:W3CDTF">2026-05-04T15:49:37.103Z</dcterms:created>
  <dcterms:modified xsi:type="dcterms:W3CDTF">2026-05-04T15:49:37.103Z</dcterms:modified>
</cp:coreProperties>
</file>

<file path=docProps/custom.xml><?xml version="1.0" encoding="utf-8"?>
<Properties xmlns="http://schemas.openxmlformats.org/officeDocument/2006/custom-properties" xmlns:vt="http://schemas.openxmlformats.org/officeDocument/2006/docPropsVTypes"/>
</file>