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Pourquoi la part québécoise s'effondre quand le canal devient algorithmique</w:t>
      </w:r>
    </w:p>
    <w:p>
      <w:pPr>
        <w:pStyle w:val="Heading1"/>
      </w:pPr>
      <w:bookmarkStart w:id="20" w:name="X81286f124cb9091b696dda8fce039ec06af1096"/>
      <w:r>
        <w:t xml:space="preserve">Pourquoi la part québécoise s’effondre quand le canal devient algorithmique</w:t>
      </w:r>
      <w:bookmarkEnd w:id="20"/>
    </w:p>
    <w:p>
      <w:pPr>
        <w:pStyle w:val="FirstParagraph"/>
      </w:pPr>
      <w:r>
        <w:rPr>
          <w:i/>
        </w:rPr>
        <w:t xml:space="preserve">Ce que les chiffres ISQ disent à six mois de la Loi 109</w:t>
      </w:r>
    </w:p>
    <w:p>
      <w:pPr>
        <w:pStyle w:val="BodyText"/>
      </w:pPr>
      <w:r>
        <w:t xml:space="preserve">Cinq mois après la sanction de la</w:t>
      </w:r>
      <w:r>
        <w:t xml:space="preserve"> </w:t>
      </w:r>
      <w:r>
        <w:rPr>
          <w:i/>
        </w:rPr>
        <w:t xml:space="preserve">Loi affirmant la souveraineté culturelle du Québec</w:t>
      </w:r>
      <w:r>
        <w:t xml:space="preserve">, l’Institut de la statistique du Québec vient de livrer un chiffre qui mérite une attention politique :</w:t>
      </w:r>
      <w:r>
        <w:t xml:space="preserve"> </w:t>
      </w:r>
      <w:r>
        <w:rPr>
          <w:b/>
        </w:rPr>
        <w:t xml:space="preserve">6,8 %</w:t>
      </w:r>
      <w:r>
        <w:t xml:space="preserve">.</w:t>
      </w:r>
    </w:p>
    <w:p>
      <w:pPr>
        <w:pStyle w:val="BodyText"/>
      </w:pPr>
      <w:r>
        <w:t xml:space="preserve">C’est la part des interprètes québécois dans les écoutes en streaming musical au Québec, sur le cumulatif de l’année 2026. Six pour cent virgule huit. À comparer aux 19,6 % de part québécoise dans les ventes d’albums en fichier numérique téléchargé, aux 12,5 % sur les pistes numériques unitaires, aux 10,8 % sur les albums physiques. Un seul interprète québécois — Les Cowboys Fringants au quinzième rang — figure dans le top 20 streaming.</w:t>
      </w:r>
    </w:p>
    <w:p>
      <w:pPr>
        <w:pStyle w:val="BodyText"/>
      </w:pPr>
      <w:r>
        <w:t xml:space="preserve">Cette gradation n’est pas accidentelle. Elle suit une logique presque mathématique :</w:t>
      </w:r>
      <w:r>
        <w:t xml:space="preserve"> </w:t>
      </w:r>
      <w:r>
        <w:rPr>
          <w:b/>
        </w:rPr>
        <w:t xml:space="preserve">plus l’algorithme intervient dans la découverte d’un contenu, plus la part québécoise s’effondre</w:t>
      </w:r>
      <w:r>
        <w:t xml:space="preserve">.</w:t>
      </w:r>
    </w:p>
    <w:p>
      <w:pPr>
        <w:pStyle w:val="Heading2"/>
      </w:pPr>
      <w:bookmarkStart w:id="21" w:name="X478d3f81d5b9f68487aca3e1f53e3689376c7b0"/>
      <w:r>
        <w:t xml:space="preserve">La pyramide inversée de la découvrabilité</w:t>
      </w:r>
      <w:bookmarkEnd w:id="21"/>
    </w:p>
    <w:p>
      <w:pPr>
        <w:pStyle w:val="FirstParagraph"/>
      </w:pPr>
      <w:r>
        <w:t xml:space="preserve">Quand un consommateur achète un album physique ou télécharge un fichier numérique précis, il pose un geste de recherche active. Il sait ce qu’il veut. Le contenu québécois résiste correctement dans cet espace : Cowboys Fringants, Klô Pelgag, Ariane Moffatt, Cœur de pirate continuent d’être achetés par celles et ceux qui les cherchent. Près d’un album numérique téléchargé sur cinq au Québec est aujourd’hui d’un interprète d’ici.</w:t>
      </w:r>
    </w:p>
    <w:p>
      <w:pPr>
        <w:pStyle w:val="BodyText"/>
      </w:pPr>
      <w:r>
        <w:t xml:space="preserve">Le streaming, lui, fonctionne différemment. Spotify, Apple Music, YouTube Music, Deezer — l’utilisateur lance une session, et l’algorithme propose. Playlists</w:t>
      </w:r>
      <w:r>
        <w:t xml:space="preserve"> </w:t>
      </w:r>
      <w:r>
        <w:rPr>
          <w:i/>
        </w:rPr>
        <w:t xml:space="preserve">Découvertes de la semaine</w:t>
      </w:r>
      <w:r>
        <w:t xml:space="preserve">,</w:t>
      </w:r>
      <w:r>
        <w:t xml:space="preserve"> </w:t>
      </w:r>
      <w:r>
        <w:rPr>
          <w:i/>
        </w:rPr>
        <w:t xml:space="preserve">Daily Mix</w:t>
      </w:r>
      <w:r>
        <w:t xml:space="preserve">,</w:t>
      </w:r>
      <w:r>
        <w:t xml:space="preserve"> </w:t>
      </w:r>
      <w:r>
        <w:rPr>
          <w:i/>
        </w:rPr>
        <w:t xml:space="preserve">Radio basée sur l’artiste X</w:t>
      </w:r>
      <w:r>
        <w:t xml:space="preserve">. Les choix sont faits pour lui, dans un univers de plusieurs dizaines de millions de titres, par des systèmes de recommandation dont les critères restent commerciaux et opaques.</w:t>
      </w:r>
    </w:p>
    <w:p>
      <w:pPr>
        <w:pStyle w:val="BodyText"/>
      </w:pPr>
      <w:r>
        <w:t xml:space="preserve">Dans cet espace-là, la part québécoise tombe à 6,8 %. Et au sommet de la pyramide — les vingt interprètes les plus écoutés au Québec en cumulatif 2026 — elle tombe à 5 % : Bad Bunny, Taylor Swift, Drake, Zach Bryan, The Weeknd, Morgan Wallen, Bruno Mars, et seize autres têtes d’affiche internationales se partagent les écoutes, autour d’une seule présence locale.</w:t>
      </w:r>
    </w:p>
    <w:p>
      <w:pPr>
        <w:pStyle w:val="Heading2"/>
      </w:pPr>
      <w:bookmarkStart w:id="22" w:name="le-test-du-cinéma-confirme-la-logique"/>
      <w:r>
        <w:t xml:space="preserve">Le test du cinéma confirme la logique</w:t>
      </w:r>
      <w:bookmarkEnd w:id="22"/>
    </w:p>
    <w:p>
      <w:pPr>
        <w:pStyle w:val="FirstParagraph"/>
      </w:pPr>
      <w:r>
        <w:t xml:space="preserve">Pour vérifier que cette dynamique n’est pas propre à la musique, il suffit de regarder le cinéma. Là, ce n’est pas l’algorithme d’une plateforme qui décide, mais l’algorithme du programmateur — quel film à quelle séance dans quelle salle, négocié entre studios, distributeurs et exploitants.</w:t>
      </w:r>
    </w:p>
    <w:p>
      <w:pPr>
        <w:pStyle w:val="BodyText"/>
      </w:pPr>
      <w:r>
        <w:t xml:space="preserve">Sur les premières huit semaines de 2026, la part québécoise de l’assistance dans les salles québécoises s’établit à</w:t>
      </w:r>
      <w:r>
        <w:t xml:space="preserve"> </w:t>
      </w:r>
      <w:r>
        <w:rPr>
          <w:b/>
        </w:rPr>
        <w:t xml:space="preserve">4,7 %</w:t>
      </w:r>
      <w:r>
        <w:t xml:space="preserve">. Pas 47 %. Quatre virgule sept. La France suit à 9,4 %, le Royaume-Uni à 8 %, le reste du Canada à 1,6 %, et les États-Unis dominent à 72,6 %. Pendant que la fréquentation totale des salles québécoises progresse de 7,4 % par rapport à la même période en 2025, la part québécoise recule de 12,4 %. Le marché grossit, mais pas pour les films d’ici.</w:t>
      </w:r>
    </w:p>
    <w:p>
      <w:pPr>
        <w:pStyle w:val="BodyText"/>
      </w:pPr>
      <w:r>
        <w:t xml:space="preserve">Cette gradation cinématographique épouse celle de la musique : quand un intermédiaire — algorithme de recommandation, programmateur de salle, distributeur de plateforme — choisit pour le public, le contenu québécois passe à la trappe.</w:t>
      </w:r>
    </w:p>
    <w:p>
      <w:pPr>
        <w:pStyle w:val="Heading2"/>
      </w:pPr>
      <w:bookmarkStart w:id="23" w:name="ce-que-la-loi-109-essaie-de-corriger"/>
      <w:r>
        <w:t xml:space="preserve">Ce que la Loi 109 essaie de corriger</w:t>
      </w:r>
      <w:bookmarkEnd w:id="23"/>
    </w:p>
    <w:p>
      <w:pPr>
        <w:pStyle w:val="FirstParagraph"/>
      </w:pPr>
      <w:r>
        <w:t xml:space="preserve">C’est précisément la dynamique que le législateur québécois a inscrite dans la Loi 109 (chapitre 38 des lois de 2025). L’article 4 définit la découvrabilité comme «</w:t>
      </w:r>
      <w:r>
        <w:t xml:space="preserve"> </w:t>
      </w:r>
      <w:r>
        <w:rPr>
          <w:i/>
        </w:rPr>
        <w:t xml:space="preserve">la disponibilité d’un contenu en ligne et sa possibilité d’être repéré facilement parmi un ensemble d’autres contenus, particulièrement par une personne qui n’en fait pas la recherche</w:t>
      </w:r>
      <w:r>
        <w:t xml:space="preserve"> </w:t>
      </w:r>
      <w:r>
        <w:t xml:space="preserve">». La précision finale dit tout. C’est exactement la situation du consommateur de streaming.</w:t>
      </w:r>
    </w:p>
    <w:p>
      <w:pPr>
        <w:pStyle w:val="BodyText"/>
      </w:pPr>
      <w:r>
        <w:t xml:space="preserve">L’article 20 confère au gouvernement le pouvoir réglementaire d’établir «</w:t>
      </w:r>
      <w:r>
        <w:t xml:space="preserve"> </w:t>
      </w:r>
      <w:r>
        <w:rPr>
          <w:i/>
        </w:rPr>
        <w:t xml:space="preserve">la quantité ou la proportion de contenu culturel d’expression originale de langue française</w:t>
      </w:r>
      <w:r>
        <w:t xml:space="preserve"> </w:t>
      </w:r>
      <w:r>
        <w:t xml:space="preserve">» qui doit être offerte par les plateformes, et de déterminer leurs «</w:t>
      </w:r>
      <w:r>
        <w:t xml:space="preserve"> </w:t>
      </w:r>
      <w:r>
        <w:rPr>
          <w:i/>
        </w:rPr>
        <w:t xml:space="preserve">obligations en matière de découvrabilité […] notamment de recommandation, de mise en valeur ou d’affichage</w:t>
      </w:r>
      <w:r>
        <w:t xml:space="preserve"> </w:t>
      </w:r>
      <w:r>
        <w:t xml:space="preserve">». La Charte des droits et libertés de la personne, elle, vient d’être augmentée d’un article 42.1 qui consacre l’accès et la découvrabilité des contenus francophones comme droit fondamental.</w:t>
      </w:r>
    </w:p>
    <w:p>
      <w:pPr>
        <w:pStyle w:val="BodyText"/>
      </w:pPr>
      <w:r>
        <w:t xml:space="preserve">L’évidence empirique soutient l’intervention. À 6,8 %, la part québécoise dans le streaming musical est près de trois fois moindre que sa part dans les albums numériques téléchargés — sur le même type de produit, la même clientèle, à la même période. La différence est purement structurelle, médiée par l’algorithme.</w:t>
      </w:r>
    </w:p>
    <w:p>
      <w:pPr>
        <w:pStyle w:val="Heading2"/>
      </w:pPr>
      <w:bookmarkStart w:id="24" w:name="une-limite-à-nommer"/>
      <w:r>
        <w:t xml:space="preserve">Une limite à nommer</w:t>
      </w:r>
      <w:bookmarkEnd w:id="24"/>
    </w:p>
    <w:p>
      <w:pPr>
        <w:pStyle w:val="FirstParagraph"/>
      </w:pPr>
      <w:r>
        <w:t xml:space="preserve">La mesure publique de la « découvrabilité algorithmique » reste un proxy. L’Institut de la statistique du Québec et l’Observatoire de la culture et des communications du Québec mesurent la consommation effective — qui écoute quoi —, pas la recommandation algorithmique — qui se voit proposer quoi. Les plateformes n’ouvrent pas leurs logs.</w:t>
      </w:r>
    </w:p>
    <w:p>
      <w:pPr>
        <w:pStyle w:val="BodyText"/>
      </w:pPr>
      <w:r>
        <w:t xml:space="preserve">C’est précisément ce que les recommandations 25 et 26 du</w:t>
      </w:r>
      <w:r>
        <w:t xml:space="preserve"> </w:t>
      </w:r>
      <w:r>
        <w:rPr>
          <w:i/>
        </w:rPr>
        <w:t xml:space="preserve">Rapport du Comité-conseil sur la découvrabilité</w:t>
      </w:r>
      <w:r>
        <w:t xml:space="preserve"> </w:t>
      </w:r>
      <w:r>
        <w:t xml:space="preserve">(Beaudoin, Duhaime, Guèvremont, Taillon, MCC, janvier 2024) visent à corriger : «</w:t>
      </w:r>
      <w:r>
        <w:t xml:space="preserve"> </w:t>
      </w:r>
      <w:r>
        <w:rPr>
          <w:i/>
        </w:rPr>
        <w:t xml:space="preserve">analyser la faisabilité de réglementer le partage des données d’usage par les plateformes</w:t>
      </w:r>
      <w:r>
        <w:t xml:space="preserve"> </w:t>
      </w:r>
      <w:r>
        <w:t xml:space="preserve">» et «</w:t>
      </w:r>
      <w:r>
        <w:t xml:space="preserve"> </w:t>
      </w:r>
      <w:r>
        <w:rPr>
          <w:i/>
        </w:rPr>
        <w:t xml:space="preserve">mettre à la disposition de l’OCCQ les ressources humaines, technologiques et financières nécessaires à l’analyse des données d’usage</w:t>
      </w:r>
      <w:r>
        <w:t xml:space="preserve"> </w:t>
      </w:r>
      <w:r>
        <w:t xml:space="preserve">». Tant que ces dispositifs ne sont pas opérationnels, on mesure l’effet algorithmique par son ombre — la consommation —, pas par sa mécanique.</w:t>
      </w:r>
    </w:p>
    <w:p>
      <w:pPr>
        <w:pStyle w:val="Heading2"/>
      </w:pPr>
      <w:bookmarkStart w:id="25" w:name="ce-qui-se-joue-maintenant"/>
      <w:r>
        <w:t xml:space="preserve">Ce qui se joue maintenant</w:t>
      </w:r>
      <w:bookmarkEnd w:id="25"/>
    </w:p>
    <w:p>
      <w:pPr>
        <w:pStyle w:val="FirstParagraph"/>
      </w:pPr>
      <w:r>
        <w:t xml:space="preserve">Cinq mois après la sanction de la Loi 109, le débat québécois n’est plus</w:t>
      </w:r>
      <w:r>
        <w:t xml:space="preserve"> </w:t>
      </w:r>
      <w:r>
        <w:rPr>
          <w:i/>
        </w:rPr>
        <w:t xml:space="preserve">« faut-il une loi »</w:t>
      </w:r>
      <w:r>
        <w:t xml:space="preserve">. Il est devenu : à quel niveau fixer les quotas, sur quelles catégories de plateformes, avec quels mécanismes de sanction, et comment articuler la mesure de substitution prévue à l’article 21 — ces ententes ministre ↔ plateforme qui peuvent prendre la place des obligations réglementaires standard.</w:t>
      </w:r>
    </w:p>
    <w:p>
      <w:pPr>
        <w:pStyle w:val="BodyText"/>
      </w:pPr>
      <w:r>
        <w:t xml:space="preserve">La rédaction des règlements gouvernementaux qui rendront la loi effective est en cours. Ces règlements détermineront ce qui constitue du «</w:t>
      </w:r>
      <w:r>
        <w:t xml:space="preserve"> </w:t>
      </w:r>
      <w:r>
        <w:rPr>
          <w:i/>
        </w:rPr>
        <w:t xml:space="preserve">contenu d’expression originale de langue française</w:t>
      </w:r>
      <w:r>
        <w:t xml:space="preserve"> </w:t>
      </w:r>
      <w:r>
        <w:t xml:space="preserve">», fixeront les seuils de présence et de découvrabilité, encadreront les normes de métadonnées, et établiront les sanctions administratives pécuniaires.</w:t>
      </w:r>
    </w:p>
    <w:p>
      <w:pPr>
        <w:pStyle w:val="BodyText"/>
      </w:pPr>
      <w:r>
        <w:t xml:space="preserve">Le premier rapport triennal du ministre, prévu à l’article 33, ne paraîtra pas avant fin 2028. D’ici là, les chiffres de l’ISQ continueront de cadencer la trajectoire. À 6,8 % aujourd’hui sur le streaming, à 4,7 % aujourd’hui au box-office, le seuil au-dessus duquel la régulation devient nécessaire est, statistiquement, déjà franchi.</w:t>
      </w:r>
    </w:p>
    <w:p>
      <w:r>
        <w:pict>
          <v:rect style="width:0;height:1.5pt" o:hralign="center" o:hrstd="t" o:hr="t"/>
        </w:pict>
      </w:r>
    </w:p>
    <w:p>
      <w:pPr>
        <w:pStyle w:val="FirstParagraph"/>
      </w:pPr>
      <w:r>
        <w:rPr>
          <w:i/>
        </w:rPr>
        <w:t xml:space="preserve">Cette chronique est le premier numéro de l’Observatoire de la souveraineté culturelle numérique. Le tableau de bord empirique qui rend disponibles toutes les données mobilisées ici, ainsi que le code de transformation, sont publiés en accompagnement.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Pourquoi la part québécoise s'effondre quand le canal devient algorithmique</dc:title>
  <dc:creator/>
  <cp:keywords/>
  <dcterms:created xsi:type="dcterms:W3CDTF">2026-05-04T18:40:37Z</dcterms:created>
  <dcterms:modified xsi:type="dcterms:W3CDTF">2026-05-04T18:40:37Z</dcterms:modified>
</cp:coreProperties>
</file>

<file path=docProps/custom.xml><?xml version="1.0" encoding="utf-8"?>
<Properties xmlns="http://schemas.openxmlformats.org/officeDocument/2006/custom-properties" xmlns:vt="http://schemas.openxmlformats.org/officeDocument/2006/docPropsVTypes"/>
</file>