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EF01" w14:textId="60AD269E" w:rsidR="00C40C24" w:rsidRPr="00C40C24" w:rsidRDefault="00C40C24" w:rsidP="00C40C24">
      <w:pPr>
        <w:rPr>
          <w:rFonts w:ascii="Times New Roman" w:hAnsi="Times New Roman" w:cs="Times New Roman"/>
          <w:lang w:val="pt-BR"/>
        </w:rPr>
      </w:pPr>
      <w:r w:rsidRPr="00C40C24">
        <w:rPr>
          <w:rFonts w:ascii="Times New Roman" w:hAnsi="Times New Roman" w:cs="Times New Roman"/>
          <w:lang w:val="pt-BR"/>
        </w:rPr>
        <w:drawing>
          <wp:inline distT="0" distB="0" distL="0" distR="0" wp14:anchorId="6DAF7887" wp14:editId="32FF0ED7">
            <wp:extent cx="4892040" cy="2364740"/>
            <wp:effectExtent l="0" t="0" r="0" b="0"/>
            <wp:docPr id="1450217537" name="Picture 1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7537" name="Picture 1" descr="A graph with numbers and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BDEE" w14:textId="4F273A0C" w:rsidR="00C40C24" w:rsidRPr="00C40C24" w:rsidRDefault="00C40C24" w:rsidP="00C40C24">
      <w:pPr>
        <w:jc w:val="both"/>
        <w:rPr>
          <w:rFonts w:ascii="Times New Roman" w:hAnsi="Times New Roman" w:cs="Times New Roman"/>
          <w:sz w:val="21"/>
          <w:szCs w:val="21"/>
          <w:lang w:val="pt-BR"/>
        </w:rPr>
      </w:pPr>
      <w:r w:rsidRPr="00C40C24">
        <w:rPr>
          <w:rFonts w:ascii="Times New Roman" w:hAnsi="Times New Roman" w:cs="Times New Roman"/>
          <w:b/>
          <w:bCs/>
          <w:sz w:val="21"/>
          <w:szCs w:val="21"/>
          <w:lang w:val="pt-BR"/>
        </w:rPr>
        <w:t>Gráfico [N].</w:t>
      </w:r>
      <w:r w:rsidRPr="00C40C24">
        <w:rPr>
          <w:rFonts w:ascii="Times New Roman" w:hAnsi="Times New Roman" w:cs="Times New Roman"/>
          <w:sz w:val="21"/>
          <w:szCs w:val="21"/>
          <w:lang w:val="pt-BR"/>
        </w:rPr>
        <w:t xml:space="preserve"> Hiato salarial por hora </w:t>
      </w:r>
      <w:r w:rsidR="002C4449">
        <w:rPr>
          <w:rFonts w:ascii="Times New Roman" w:hAnsi="Times New Roman" w:cs="Times New Roman"/>
          <w:sz w:val="21"/>
          <w:szCs w:val="21"/>
          <w:lang w:val="pt-BR"/>
        </w:rPr>
        <w:t>n</w:t>
      </w:r>
      <w:r w:rsidRPr="00C40C24">
        <w:rPr>
          <w:rFonts w:ascii="Times New Roman" w:hAnsi="Times New Roman" w:cs="Times New Roman"/>
          <w:sz w:val="21"/>
          <w:szCs w:val="21"/>
          <w:lang w:val="pt-BR"/>
        </w:rPr>
        <w:t xml:space="preserve">o contrato, por tipo de contrato (1T 2026). Razão entre a remuneração média por hora de trabalhadoras domésticas negras (pretas + pardas) e a de trabalhadoras não-negras, </w:t>
      </w:r>
      <w:r w:rsidR="002C4449">
        <w:rPr>
          <w:rFonts w:ascii="Times New Roman" w:hAnsi="Times New Roman" w:cs="Times New Roman"/>
          <w:sz w:val="21"/>
          <w:szCs w:val="21"/>
          <w:lang w:val="pt-BR"/>
        </w:rPr>
        <w:t>em</w:t>
      </w:r>
      <w:r w:rsidRPr="00C40C24">
        <w:rPr>
          <w:rFonts w:ascii="Times New Roman" w:hAnsi="Times New Roman" w:cs="Times New Roman"/>
          <w:sz w:val="21"/>
          <w:szCs w:val="21"/>
          <w:lang w:val="pt-BR"/>
        </w:rPr>
        <w:t xml:space="preserve"> cada regime contratual. </w:t>
      </w:r>
      <w:r w:rsidR="002C4449">
        <w:rPr>
          <w:rFonts w:ascii="Times New Roman" w:hAnsi="Times New Roman" w:cs="Times New Roman"/>
          <w:sz w:val="21"/>
          <w:szCs w:val="21"/>
          <w:lang w:val="pt-BR"/>
        </w:rPr>
        <w:t>A l</w:t>
      </w:r>
      <w:r w:rsidRPr="00C40C24">
        <w:rPr>
          <w:rFonts w:ascii="Times New Roman" w:hAnsi="Times New Roman" w:cs="Times New Roman"/>
          <w:sz w:val="21"/>
          <w:szCs w:val="21"/>
          <w:lang w:val="pt-BR"/>
        </w:rPr>
        <w:t xml:space="preserve">inha tracejada indica a paridade salarial (100%). Fonte: elaboração própria a partir dos microdados da PNAD Contínua (IBGE), 1T 2026, cruzamento V4024 × VD4009 × V2010 com pesos amostrais V1028. Amostras: </w:t>
      </w:r>
      <w:proofErr w:type="spellStart"/>
      <w:r w:rsidRPr="00C40C24">
        <w:rPr>
          <w:rFonts w:ascii="Times New Roman" w:hAnsi="Times New Roman" w:cs="Times New Roman"/>
          <w:sz w:val="21"/>
          <w:szCs w:val="21"/>
          <w:lang w:val="pt-BR"/>
        </w:rPr>
        <w:t>mensalismo</w:t>
      </w:r>
      <w:proofErr w:type="spellEnd"/>
      <w:r w:rsidRPr="00C40C24">
        <w:rPr>
          <w:rFonts w:ascii="Times New Roman" w:hAnsi="Times New Roman" w:cs="Times New Roman"/>
          <w:sz w:val="21"/>
          <w:szCs w:val="21"/>
          <w:lang w:val="pt-BR"/>
        </w:rPr>
        <w:t xml:space="preserve"> n = 5.254 (negras) + 1.917 (não-negras); </w:t>
      </w:r>
      <w:proofErr w:type="spellStart"/>
      <w:r w:rsidRPr="00C40C24">
        <w:rPr>
          <w:rFonts w:ascii="Times New Roman" w:hAnsi="Times New Roman" w:cs="Times New Roman"/>
          <w:sz w:val="21"/>
          <w:szCs w:val="21"/>
          <w:lang w:val="pt-BR"/>
        </w:rPr>
        <w:t>diarismo</w:t>
      </w:r>
      <w:proofErr w:type="spellEnd"/>
      <w:r w:rsidRPr="00C40C24">
        <w:rPr>
          <w:rFonts w:ascii="Times New Roman" w:hAnsi="Times New Roman" w:cs="Times New Roman"/>
          <w:sz w:val="21"/>
          <w:szCs w:val="21"/>
          <w:lang w:val="pt-BR"/>
        </w:rPr>
        <w:t xml:space="preserve"> n = 2.158 (negras) + 954 (não-negras). Detalhamento metodológico no painel STDMSP (§3.20 da metodologia).</w:t>
      </w:r>
    </w:p>
    <w:p w14:paraId="5EA209CF" w14:textId="77777777" w:rsidR="00C40C24" w:rsidRPr="00C40C24" w:rsidRDefault="00C40C24" w:rsidP="00C40C24">
      <w:pPr>
        <w:rPr>
          <w:rFonts w:ascii="Times New Roman" w:hAnsi="Times New Roman" w:cs="Times New Roman"/>
          <w:lang w:val="pt-BR"/>
        </w:rPr>
      </w:pPr>
    </w:p>
    <w:p w14:paraId="1DE709FD" w14:textId="3A0B2A4C" w:rsidR="00C40C24" w:rsidRDefault="00C40C24" w:rsidP="002C4449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O trabalho doméstico no Brasil passou por um </w:t>
      </w:r>
      <w:r w:rsidRPr="00C40C24">
        <w:rPr>
          <w:rFonts w:ascii="Times New Roman" w:hAnsi="Times New Roman" w:cs="Times New Roman"/>
          <w:lang w:val="pt-BR"/>
        </w:rPr>
        <w:t xml:space="preserve">ciclo regulatório que </w:t>
      </w:r>
      <w:r w:rsidR="00343068">
        <w:rPr>
          <w:rFonts w:ascii="Times New Roman" w:hAnsi="Times New Roman" w:cs="Times New Roman"/>
          <w:lang w:val="pt-BR"/>
        </w:rPr>
        <w:t>incluiu a</w:t>
      </w:r>
      <w:r w:rsidRPr="00C40C24">
        <w:rPr>
          <w:rFonts w:ascii="Times New Roman" w:hAnsi="Times New Roman" w:cs="Times New Roman"/>
          <w:lang w:val="pt-BR"/>
        </w:rPr>
        <w:t xml:space="preserve"> Emenda Constitucional 72 de 2013</w:t>
      </w:r>
      <w:r>
        <w:rPr>
          <w:rFonts w:ascii="Times New Roman" w:hAnsi="Times New Roman" w:cs="Times New Roman"/>
          <w:lang w:val="pt-BR"/>
        </w:rPr>
        <w:t>,</w:t>
      </w:r>
      <w:r w:rsidRPr="00C40C24">
        <w:rPr>
          <w:rFonts w:ascii="Times New Roman" w:hAnsi="Times New Roman" w:cs="Times New Roman"/>
          <w:lang w:val="pt-BR"/>
        </w:rPr>
        <w:t xml:space="preserve"> </w:t>
      </w:r>
      <w:r w:rsidR="00343068">
        <w:rPr>
          <w:rFonts w:ascii="Times New Roman" w:hAnsi="Times New Roman" w:cs="Times New Roman"/>
          <w:lang w:val="pt-BR"/>
        </w:rPr>
        <w:t xml:space="preserve">a </w:t>
      </w:r>
      <w:r w:rsidRPr="00C40C24">
        <w:rPr>
          <w:rFonts w:ascii="Times New Roman" w:hAnsi="Times New Roman" w:cs="Times New Roman"/>
          <w:lang w:val="pt-BR"/>
        </w:rPr>
        <w:t>Lei Complementar 150 de 2015</w:t>
      </w:r>
      <w:r w:rsidR="00343068">
        <w:rPr>
          <w:rFonts w:ascii="Times New Roman" w:hAnsi="Times New Roman" w:cs="Times New Roman"/>
          <w:lang w:val="pt-BR"/>
        </w:rPr>
        <w:t xml:space="preserve"> e</w:t>
      </w:r>
      <w:r w:rsidRPr="00C40C24">
        <w:rPr>
          <w:rFonts w:ascii="Times New Roman" w:hAnsi="Times New Roman" w:cs="Times New Roman"/>
          <w:lang w:val="pt-BR"/>
        </w:rPr>
        <w:t xml:space="preserve"> </w:t>
      </w:r>
      <w:r w:rsidR="00343068">
        <w:rPr>
          <w:rFonts w:ascii="Times New Roman" w:hAnsi="Times New Roman" w:cs="Times New Roman"/>
          <w:lang w:val="pt-BR"/>
        </w:rPr>
        <w:t>a</w:t>
      </w:r>
      <w:r w:rsidRPr="00C40C24">
        <w:rPr>
          <w:rFonts w:ascii="Times New Roman" w:hAnsi="Times New Roman" w:cs="Times New Roman"/>
          <w:lang w:val="pt-BR"/>
        </w:rPr>
        <w:t xml:space="preserve"> Reforma Trabalhista de 2017 (Lei 13.467/17)</w:t>
      </w:r>
      <w:r w:rsidR="00343068">
        <w:rPr>
          <w:rFonts w:ascii="Times New Roman" w:hAnsi="Times New Roman" w:cs="Times New Roman"/>
          <w:lang w:val="pt-BR"/>
        </w:rPr>
        <w:t>.</w:t>
      </w:r>
      <w:r w:rsidRPr="00C40C24">
        <w:rPr>
          <w:rFonts w:ascii="Times New Roman" w:hAnsi="Times New Roman" w:cs="Times New Roman"/>
          <w:lang w:val="pt-BR"/>
        </w:rPr>
        <w:t xml:space="preserve"> </w:t>
      </w:r>
      <w:r w:rsidR="00343068">
        <w:rPr>
          <w:rFonts w:ascii="Times New Roman" w:hAnsi="Times New Roman" w:cs="Times New Roman"/>
          <w:lang w:val="pt-BR"/>
        </w:rPr>
        <w:t xml:space="preserve">Enquanto nos dois primeiros casos </w:t>
      </w:r>
      <w:r w:rsidR="00343068">
        <w:rPr>
          <w:rFonts w:ascii="Times New Roman" w:hAnsi="Times New Roman" w:cs="Times New Roman"/>
          <w:kern w:val="0"/>
          <w:lang w:val="pt-BR"/>
          <w14:ligatures w14:val="none"/>
        </w:rPr>
        <w:t xml:space="preserve">estenderam os direitos trabalhistas constitucionais às trabalhadoras domésticas, completando a tarefa de cidadania que a Constituição de 1988 deixara em aberto (Bernardino-Costa, 2015; </w:t>
      </w:r>
      <w:proofErr w:type="spellStart"/>
      <w:r w:rsidR="00343068">
        <w:rPr>
          <w:rFonts w:ascii="Times New Roman" w:hAnsi="Times New Roman" w:cs="Times New Roman"/>
          <w:kern w:val="0"/>
          <w:lang w:val="pt-BR"/>
          <w14:ligatures w14:val="none"/>
        </w:rPr>
        <w:t>Acciari</w:t>
      </w:r>
      <w:proofErr w:type="spellEnd"/>
      <w:r w:rsidR="00343068">
        <w:rPr>
          <w:rFonts w:ascii="Times New Roman" w:hAnsi="Times New Roman" w:cs="Times New Roman"/>
          <w:kern w:val="0"/>
          <w:lang w:val="pt-BR"/>
          <w14:ligatures w14:val="none"/>
        </w:rPr>
        <w:t>, 2016), esta última flexibilizou amplamente o regime contratual brasileiro (</w:t>
      </w:r>
      <w:proofErr w:type="spellStart"/>
      <w:r w:rsidR="00343068">
        <w:rPr>
          <w:rFonts w:ascii="Times New Roman" w:hAnsi="Times New Roman" w:cs="Times New Roman"/>
          <w:kern w:val="0"/>
          <w:lang w:val="pt-BR"/>
          <w14:ligatures w14:val="none"/>
        </w:rPr>
        <w:t>Krein</w:t>
      </w:r>
      <w:proofErr w:type="spellEnd"/>
      <w:r w:rsidR="00343068">
        <w:rPr>
          <w:rFonts w:ascii="Times New Roman" w:hAnsi="Times New Roman" w:cs="Times New Roman"/>
          <w:kern w:val="0"/>
          <w:lang w:val="pt-BR"/>
          <w14:ligatures w14:val="none"/>
        </w:rPr>
        <w:t>, Gimenez &amp; Santos, 2018). Esses três momentos devem ser lidos</w:t>
      </w:r>
      <w:r w:rsidRPr="00C40C24">
        <w:rPr>
          <w:rFonts w:ascii="Times New Roman" w:hAnsi="Times New Roman" w:cs="Times New Roman"/>
          <w:lang w:val="pt-BR"/>
        </w:rPr>
        <w:t xml:space="preserve"> como uma única reorganização político-jurídica da categoria, e não como três intervenções independentes.</w:t>
      </w:r>
      <w:r w:rsidR="00343068">
        <w:rPr>
          <w:rFonts w:ascii="Times New Roman" w:hAnsi="Times New Roman" w:cs="Times New Roman"/>
          <w:lang w:val="pt-BR"/>
        </w:rPr>
        <w:t xml:space="preserve"> </w:t>
      </w:r>
      <w:r w:rsidRPr="00C40C24">
        <w:rPr>
          <w:rFonts w:ascii="Times New Roman" w:hAnsi="Times New Roman" w:cs="Times New Roman"/>
          <w:lang w:val="pt-BR"/>
        </w:rPr>
        <w:t xml:space="preserve"> </w:t>
      </w:r>
    </w:p>
    <w:p w14:paraId="1ECA966C" w14:textId="65FB689B" w:rsidR="00C40C24" w:rsidRPr="00C40C24" w:rsidRDefault="00C40C24" w:rsidP="002C4449">
      <w:pPr>
        <w:jc w:val="both"/>
        <w:rPr>
          <w:rFonts w:ascii="Times New Roman" w:hAnsi="Times New Roman" w:cs="Times New Roman"/>
          <w:lang w:val="pt-BR"/>
        </w:rPr>
      </w:pPr>
      <w:r w:rsidRPr="00C40C24">
        <w:rPr>
          <w:rFonts w:ascii="Times New Roman" w:hAnsi="Times New Roman" w:cs="Times New Roman"/>
          <w:lang w:val="pt-BR"/>
        </w:rPr>
        <w:t>Os dois primeiros instrumentos universalizaram, no plano formal, o estatuto de cidadania trabalhista das domésticas; o terceiro, ao reduzir o custo regulatório das modalidades flexíveis de contratação, deslocou o equilíbrio interno da categoria entre o regime mensalista</w:t>
      </w:r>
      <w:r w:rsidR="00343068">
        <w:rPr>
          <w:rFonts w:ascii="Times New Roman" w:hAnsi="Times New Roman" w:cs="Times New Roman"/>
          <w:lang w:val="pt-BR"/>
        </w:rPr>
        <w:t>, que tem sido</w:t>
      </w:r>
      <w:r w:rsidRPr="00C40C24">
        <w:rPr>
          <w:rFonts w:ascii="Times New Roman" w:hAnsi="Times New Roman" w:cs="Times New Roman"/>
          <w:lang w:val="pt-BR"/>
        </w:rPr>
        <w:t xml:space="preserve"> historicamente o lócus do vínculo formal estável</w:t>
      </w:r>
      <w:r w:rsidR="00343068">
        <w:rPr>
          <w:rFonts w:ascii="Times New Roman" w:hAnsi="Times New Roman" w:cs="Times New Roman"/>
          <w:lang w:val="pt-BR"/>
        </w:rPr>
        <w:t>,</w:t>
      </w:r>
      <w:r w:rsidRPr="00C40C24">
        <w:rPr>
          <w:rFonts w:ascii="Times New Roman" w:hAnsi="Times New Roman" w:cs="Times New Roman"/>
          <w:lang w:val="pt-BR"/>
        </w:rPr>
        <w:t xml:space="preserve"> e o regime diarista</w:t>
      </w:r>
      <w:r w:rsidR="00343068">
        <w:rPr>
          <w:rFonts w:ascii="Times New Roman" w:hAnsi="Times New Roman" w:cs="Times New Roman"/>
          <w:lang w:val="pt-BR"/>
        </w:rPr>
        <w:t>,</w:t>
      </w:r>
      <w:r w:rsidRPr="00C40C24">
        <w:rPr>
          <w:rFonts w:ascii="Times New Roman" w:hAnsi="Times New Roman" w:cs="Times New Roman"/>
          <w:lang w:val="pt-BR"/>
        </w:rPr>
        <w:t xml:space="preserve"> </w:t>
      </w:r>
      <w:r w:rsidR="00343068">
        <w:rPr>
          <w:rFonts w:ascii="Times New Roman" w:hAnsi="Times New Roman" w:cs="Times New Roman"/>
          <w:lang w:val="pt-BR"/>
        </w:rPr>
        <w:t xml:space="preserve">que é </w:t>
      </w:r>
      <w:r w:rsidRPr="00C40C24">
        <w:rPr>
          <w:rFonts w:ascii="Times New Roman" w:hAnsi="Times New Roman" w:cs="Times New Roman"/>
          <w:lang w:val="pt-BR"/>
        </w:rPr>
        <w:t xml:space="preserve">formalmente </w:t>
      </w:r>
      <w:r w:rsidR="00343068">
        <w:rPr>
          <w:rFonts w:ascii="Times New Roman" w:hAnsi="Times New Roman" w:cs="Times New Roman"/>
          <w:lang w:val="pt-BR"/>
        </w:rPr>
        <w:t>“</w:t>
      </w:r>
      <w:r w:rsidRPr="00C40C24">
        <w:rPr>
          <w:rFonts w:ascii="Times New Roman" w:hAnsi="Times New Roman" w:cs="Times New Roman"/>
          <w:lang w:val="pt-BR"/>
        </w:rPr>
        <w:t>autônomo</w:t>
      </w:r>
      <w:r w:rsidR="00343068">
        <w:rPr>
          <w:rFonts w:ascii="Times New Roman" w:hAnsi="Times New Roman" w:cs="Times New Roman"/>
          <w:lang w:val="pt-BR"/>
        </w:rPr>
        <w:t>”</w:t>
      </w:r>
      <w:r w:rsidRPr="00C40C24">
        <w:rPr>
          <w:rFonts w:ascii="Times New Roman" w:hAnsi="Times New Roman" w:cs="Times New Roman"/>
          <w:lang w:val="pt-BR"/>
        </w:rPr>
        <w:t xml:space="preserve"> </w:t>
      </w:r>
      <w:r w:rsidR="00343068">
        <w:rPr>
          <w:rFonts w:ascii="Times New Roman" w:hAnsi="Times New Roman" w:cs="Times New Roman"/>
          <w:lang w:val="pt-BR"/>
        </w:rPr>
        <w:t xml:space="preserve">e </w:t>
      </w:r>
      <w:r w:rsidRPr="00C40C24">
        <w:rPr>
          <w:rFonts w:ascii="Times New Roman" w:hAnsi="Times New Roman" w:cs="Times New Roman"/>
          <w:lang w:val="pt-BR"/>
        </w:rPr>
        <w:t>efetivamente informalizado. A leitura institucional usual celebra a extensão d</w:t>
      </w:r>
      <w:r w:rsidR="00343068">
        <w:rPr>
          <w:rFonts w:ascii="Times New Roman" w:hAnsi="Times New Roman" w:cs="Times New Roman"/>
          <w:lang w:val="pt-BR"/>
        </w:rPr>
        <w:t>os</w:t>
      </w:r>
      <w:r w:rsidRPr="00C40C24">
        <w:rPr>
          <w:rFonts w:ascii="Times New Roman" w:hAnsi="Times New Roman" w:cs="Times New Roman"/>
          <w:lang w:val="pt-BR"/>
        </w:rPr>
        <w:t xml:space="preserve"> direitos que esse ciclo prometeu</w:t>
      </w:r>
      <w:r w:rsidR="00343068">
        <w:rPr>
          <w:rFonts w:ascii="Times New Roman" w:hAnsi="Times New Roman" w:cs="Times New Roman"/>
          <w:lang w:val="pt-BR"/>
        </w:rPr>
        <w:t>, mas</w:t>
      </w:r>
      <w:r w:rsidR="006F6B0F">
        <w:rPr>
          <w:rFonts w:ascii="Times New Roman" w:hAnsi="Times New Roman" w:cs="Times New Roman"/>
          <w:lang w:val="pt-BR"/>
        </w:rPr>
        <w:t xml:space="preserve"> a</w:t>
      </w:r>
      <w:r w:rsidRPr="00C40C24">
        <w:rPr>
          <w:rFonts w:ascii="Times New Roman" w:hAnsi="Times New Roman" w:cs="Times New Roman"/>
          <w:lang w:val="pt-BR"/>
        </w:rPr>
        <w:t xml:space="preserve"> leitura que propomos aqui, ancorada nos microdados da PNAD Contínua e cotejada com os depoimentos</w:t>
      </w:r>
      <w:r w:rsidR="006F6B0F">
        <w:rPr>
          <w:rFonts w:ascii="Times New Roman" w:hAnsi="Times New Roman" w:cs="Times New Roman"/>
          <w:lang w:val="pt-BR"/>
        </w:rPr>
        <w:t>/dados</w:t>
      </w:r>
      <w:r w:rsidRPr="00C40C24">
        <w:rPr>
          <w:rFonts w:ascii="Times New Roman" w:hAnsi="Times New Roman" w:cs="Times New Roman"/>
          <w:lang w:val="pt-BR"/>
        </w:rPr>
        <w:t xml:space="preserve"> colhidos em parceria com o Sindicato das Trabalhadoras Domésticas do Município de São </w:t>
      </w:r>
      <w:r w:rsidRPr="00C40C24">
        <w:rPr>
          <w:rFonts w:ascii="Times New Roman" w:hAnsi="Times New Roman" w:cs="Times New Roman"/>
          <w:lang w:val="pt-BR"/>
        </w:rPr>
        <w:lastRenderedPageBreak/>
        <w:t>Paulo, mostra que o efeito racial dessa reorganização não está</w:t>
      </w:r>
      <w:r w:rsidR="00343068">
        <w:rPr>
          <w:rFonts w:ascii="Times New Roman" w:hAnsi="Times New Roman" w:cs="Times New Roman"/>
          <w:lang w:val="pt-BR"/>
        </w:rPr>
        <w:t xml:space="preserve"> </w:t>
      </w:r>
      <w:r w:rsidRPr="00C40C24">
        <w:rPr>
          <w:rFonts w:ascii="Times New Roman" w:hAnsi="Times New Roman" w:cs="Times New Roman"/>
          <w:lang w:val="pt-BR"/>
        </w:rPr>
        <w:t>na alocação contratual</w:t>
      </w:r>
      <w:r w:rsidR="00343068">
        <w:rPr>
          <w:rFonts w:ascii="Times New Roman" w:hAnsi="Times New Roman" w:cs="Times New Roman"/>
          <w:lang w:val="pt-BR"/>
        </w:rPr>
        <w:t>. Dito de outra maneira,</w:t>
      </w:r>
      <w:r w:rsidRPr="00C40C24">
        <w:rPr>
          <w:rFonts w:ascii="Times New Roman" w:hAnsi="Times New Roman" w:cs="Times New Roman"/>
          <w:lang w:val="pt-BR"/>
        </w:rPr>
        <w:t xml:space="preserve"> as taxas de entrada em </w:t>
      </w:r>
      <w:r w:rsidR="00343068">
        <w:rPr>
          <w:rFonts w:ascii="Times New Roman" w:hAnsi="Times New Roman" w:cs="Times New Roman"/>
          <w:lang w:val="pt-BR"/>
        </w:rPr>
        <w:t>“</w:t>
      </w:r>
      <w:proofErr w:type="spellStart"/>
      <w:r w:rsidRPr="00C40C24">
        <w:rPr>
          <w:rFonts w:ascii="Times New Roman" w:hAnsi="Times New Roman" w:cs="Times New Roman"/>
          <w:lang w:val="pt-BR"/>
        </w:rPr>
        <w:t>diarismo</w:t>
      </w:r>
      <w:proofErr w:type="spellEnd"/>
      <w:r w:rsidR="00343068">
        <w:rPr>
          <w:rFonts w:ascii="Times New Roman" w:hAnsi="Times New Roman" w:cs="Times New Roman"/>
          <w:lang w:val="pt-BR"/>
        </w:rPr>
        <w:t>”</w:t>
      </w:r>
      <w:r w:rsidRPr="00C40C24">
        <w:rPr>
          <w:rFonts w:ascii="Times New Roman" w:hAnsi="Times New Roman" w:cs="Times New Roman"/>
          <w:lang w:val="pt-BR"/>
        </w:rPr>
        <w:t xml:space="preserve"> são similares entre trabalhadoras negras e não-negras</w:t>
      </w:r>
      <w:r w:rsidR="006B7B6D">
        <w:rPr>
          <w:rFonts w:ascii="Times New Roman" w:hAnsi="Times New Roman" w:cs="Times New Roman"/>
          <w:lang w:val="pt-BR"/>
        </w:rPr>
        <w:t xml:space="preserve"> e vêm crescendo ao longo dos anos</w:t>
      </w:r>
      <w:r w:rsidRPr="00C40C24">
        <w:rPr>
          <w:rFonts w:ascii="Times New Roman" w:hAnsi="Times New Roman" w:cs="Times New Roman"/>
          <w:lang w:val="pt-BR"/>
        </w:rPr>
        <w:t xml:space="preserve">, mas </w:t>
      </w:r>
      <w:r w:rsidR="00343068">
        <w:rPr>
          <w:rFonts w:ascii="Times New Roman" w:hAnsi="Times New Roman" w:cs="Times New Roman"/>
          <w:lang w:val="pt-BR"/>
        </w:rPr>
        <w:t xml:space="preserve">diferem </w:t>
      </w:r>
      <w:r w:rsidRPr="00C40C24">
        <w:rPr>
          <w:rFonts w:ascii="Times New Roman" w:hAnsi="Times New Roman" w:cs="Times New Roman"/>
          <w:lang w:val="pt-BR"/>
        </w:rPr>
        <w:t>no valor político</w:t>
      </w:r>
      <w:r w:rsidR="00343068">
        <w:rPr>
          <w:rFonts w:ascii="Times New Roman" w:hAnsi="Times New Roman" w:cs="Times New Roman"/>
          <w:lang w:val="pt-BR"/>
        </w:rPr>
        <w:t>-econômico</w:t>
      </w:r>
      <w:r w:rsidRPr="00C40C24">
        <w:rPr>
          <w:rFonts w:ascii="Times New Roman" w:hAnsi="Times New Roman" w:cs="Times New Roman"/>
          <w:lang w:val="pt-BR"/>
        </w:rPr>
        <w:t xml:space="preserve"> atribuído ao trabalho </w:t>
      </w:r>
      <w:r w:rsidR="00343068">
        <w:rPr>
          <w:rFonts w:ascii="Times New Roman" w:hAnsi="Times New Roman" w:cs="Times New Roman"/>
          <w:lang w:val="pt-BR"/>
        </w:rPr>
        <w:t>nesses dois tipos de contratos</w:t>
      </w:r>
      <w:r w:rsidRPr="00C40C24">
        <w:rPr>
          <w:rFonts w:ascii="Times New Roman" w:hAnsi="Times New Roman" w:cs="Times New Roman"/>
          <w:lang w:val="pt-BR"/>
        </w:rPr>
        <w:t>.</w:t>
      </w:r>
    </w:p>
    <w:p w14:paraId="33B0BAD1" w14:textId="458F4121" w:rsidR="006F6B0F" w:rsidRPr="00C40C24" w:rsidRDefault="00C40C24" w:rsidP="006F6B0F">
      <w:pPr>
        <w:pStyle w:val="font-claude-response-body"/>
        <w:spacing w:line="276" w:lineRule="auto"/>
        <w:jc w:val="both"/>
        <w:rPr>
          <w:lang w:val="pt-BR"/>
        </w:rPr>
      </w:pPr>
      <w:r w:rsidRPr="00C40C24">
        <w:rPr>
          <w:lang w:val="pt-BR"/>
        </w:rPr>
        <w:t>Os dados d</w:t>
      </w:r>
      <w:r w:rsidR="00C07B66">
        <w:rPr>
          <w:lang w:val="pt-BR"/>
        </w:rPr>
        <w:t>o</w:t>
      </w:r>
      <w:r w:rsidRPr="00C40C24">
        <w:rPr>
          <w:lang w:val="pt-BR"/>
        </w:rPr>
        <w:t xml:space="preserve"> </w:t>
      </w:r>
      <w:r w:rsidR="00C07B66">
        <w:rPr>
          <w:lang w:val="pt-BR"/>
        </w:rPr>
        <w:t xml:space="preserve">primeiro trimestre de </w:t>
      </w:r>
      <w:r w:rsidRPr="00C40C24">
        <w:rPr>
          <w:lang w:val="pt-BR"/>
        </w:rPr>
        <w:t>2026 cruzam três variáveis da PNAD Contínua</w:t>
      </w:r>
      <w:r w:rsidR="00C07B66">
        <w:rPr>
          <w:lang w:val="pt-BR"/>
        </w:rPr>
        <w:t xml:space="preserve"> </w:t>
      </w:r>
      <w:r w:rsidRPr="00C40C24">
        <w:rPr>
          <w:lang w:val="pt-BR"/>
        </w:rPr>
        <w:t>(tipo de contrato</w:t>
      </w:r>
      <w:r w:rsidR="00C07B66">
        <w:rPr>
          <w:lang w:val="pt-BR"/>
        </w:rPr>
        <w:t xml:space="preserve">, </w:t>
      </w:r>
      <w:r w:rsidRPr="00C40C24">
        <w:rPr>
          <w:lang w:val="pt-BR"/>
        </w:rPr>
        <w:t>formalidade</w:t>
      </w:r>
      <w:r w:rsidR="00C07B66">
        <w:rPr>
          <w:lang w:val="pt-BR"/>
        </w:rPr>
        <w:t xml:space="preserve">, </w:t>
      </w:r>
      <w:r w:rsidRPr="00C40C24">
        <w:rPr>
          <w:lang w:val="pt-BR"/>
        </w:rPr>
        <w:t>cor/raça)</w:t>
      </w:r>
      <w:r w:rsidR="00C07B66">
        <w:rPr>
          <w:lang w:val="pt-BR"/>
        </w:rPr>
        <w:t xml:space="preserve"> </w:t>
      </w:r>
      <w:r w:rsidRPr="00C40C24">
        <w:rPr>
          <w:lang w:val="pt-BR"/>
        </w:rPr>
        <w:t>para c</w:t>
      </w:r>
      <w:r w:rsidR="00C07B66">
        <w:rPr>
          <w:lang w:val="pt-BR"/>
        </w:rPr>
        <w:t>alcul</w:t>
      </w:r>
      <w:r w:rsidRPr="00C40C24">
        <w:rPr>
          <w:lang w:val="pt-BR"/>
        </w:rPr>
        <w:t>ar a remuneração média por hora em cada célula de raça</w:t>
      </w:r>
      <w:r w:rsidR="00C07B66">
        <w:rPr>
          <w:lang w:val="pt-BR"/>
        </w:rPr>
        <w:t>/</w:t>
      </w:r>
      <w:r w:rsidRPr="00C40C24">
        <w:rPr>
          <w:lang w:val="pt-BR"/>
        </w:rPr>
        <w:t>contrato</w:t>
      </w:r>
      <w:r w:rsidR="00C07B66">
        <w:rPr>
          <w:rStyle w:val="FootnoteReference"/>
          <w:lang w:val="pt-BR"/>
        </w:rPr>
        <w:footnoteReference w:id="1"/>
      </w:r>
      <w:r w:rsidRPr="00C40C24">
        <w:rPr>
          <w:lang w:val="pt-BR"/>
        </w:rPr>
        <w:t>. O</w:t>
      </w:r>
      <w:r w:rsidR="00C07B66">
        <w:rPr>
          <w:lang w:val="pt-BR"/>
        </w:rPr>
        <w:t xml:space="preserve"> que encontramos apresenta as seguintes camadas</w:t>
      </w:r>
      <w:r w:rsidRPr="00C40C24">
        <w:rPr>
          <w:lang w:val="pt-BR"/>
        </w:rPr>
        <w:t>: dentro do regime mensalista, que cobre cerca de 75% da categoria, trabalhadoras negras recebem 96,6% por hora do que recebem trabalhadoras não-negras</w:t>
      </w:r>
      <w:r w:rsidR="00C07B66">
        <w:rPr>
          <w:lang w:val="pt-BR"/>
        </w:rPr>
        <w:t>. Podemos dizer que se trata de</w:t>
      </w:r>
      <w:r w:rsidRPr="00C40C24">
        <w:rPr>
          <w:lang w:val="pt-BR"/>
        </w:rPr>
        <w:t xml:space="preserve"> um diferencial praticamente fechado.</w:t>
      </w:r>
      <w:r w:rsidR="00C07B66">
        <w:rPr>
          <w:lang w:val="pt-BR"/>
        </w:rPr>
        <w:t xml:space="preserve"> Por outro lado,</w:t>
      </w:r>
      <w:r w:rsidRPr="00C40C24">
        <w:rPr>
          <w:lang w:val="pt-BR"/>
        </w:rPr>
        <w:t xml:space="preserve"> </w:t>
      </w:r>
      <w:r w:rsidR="00C07B66">
        <w:rPr>
          <w:lang w:val="pt-BR"/>
        </w:rPr>
        <w:t>n</w:t>
      </w:r>
      <w:r w:rsidRPr="00C40C24">
        <w:rPr>
          <w:lang w:val="pt-BR"/>
        </w:rPr>
        <w:t xml:space="preserve">o regime diarista, que </w:t>
      </w:r>
      <w:r w:rsidR="00C07B66">
        <w:rPr>
          <w:lang w:val="pt-BR"/>
        </w:rPr>
        <w:t>abrang</w:t>
      </w:r>
      <w:r w:rsidRPr="00C40C24">
        <w:rPr>
          <w:lang w:val="pt-BR"/>
        </w:rPr>
        <w:t>e os 25% restantes, esse percentual cai para 84,3%</w:t>
      </w:r>
      <w:r w:rsidR="00C07B66">
        <w:rPr>
          <w:lang w:val="pt-BR"/>
        </w:rPr>
        <w:t xml:space="preserve">, </w:t>
      </w:r>
      <w:r w:rsidR="006F6B0F">
        <w:rPr>
          <w:lang w:val="pt-BR"/>
        </w:rPr>
        <w:t>gerando</w:t>
      </w:r>
      <w:r w:rsidR="00C07B66">
        <w:rPr>
          <w:lang w:val="pt-BR"/>
        </w:rPr>
        <w:t xml:space="preserve"> </w:t>
      </w:r>
      <w:r w:rsidRPr="00C40C24">
        <w:rPr>
          <w:lang w:val="pt-BR"/>
        </w:rPr>
        <w:t>um</w:t>
      </w:r>
      <w:r w:rsidR="006B7B6D">
        <w:rPr>
          <w:lang w:val="pt-BR"/>
        </w:rPr>
        <w:t>a lacuna</w:t>
      </w:r>
      <w:r w:rsidRPr="00C40C24">
        <w:rPr>
          <w:lang w:val="pt-BR"/>
        </w:rPr>
        <w:t xml:space="preserve"> de 15,7 pontos percentuais em desfavor das trabalhadoras negras. </w:t>
      </w:r>
      <w:r w:rsidR="006F6B0F">
        <w:rPr>
          <w:lang w:val="pt-BR"/>
        </w:rPr>
        <w:t>No conjunto,</w:t>
      </w:r>
      <w:r w:rsidR="006F6B0F" w:rsidRPr="006F6B0F">
        <w:rPr>
          <w:lang w:val="pt-BR"/>
        </w:rPr>
        <w:t xml:space="preserve"> o </w:t>
      </w:r>
      <w:proofErr w:type="spellStart"/>
      <w:r w:rsidR="006F6B0F" w:rsidRPr="006F6B0F">
        <w:rPr>
          <w:lang w:val="pt-BR"/>
        </w:rPr>
        <w:t>diarismo</w:t>
      </w:r>
      <w:proofErr w:type="spellEnd"/>
      <w:r w:rsidR="006F6B0F" w:rsidRPr="006F6B0F">
        <w:rPr>
          <w:lang w:val="pt-BR"/>
        </w:rPr>
        <w:t xml:space="preserve"> paga mais por hora </w:t>
      </w:r>
      <w:r w:rsidR="006F6B0F">
        <w:rPr>
          <w:lang w:val="pt-BR"/>
        </w:rPr>
        <w:t xml:space="preserve">do </w:t>
      </w:r>
      <w:r w:rsidR="006F6B0F" w:rsidRPr="006F6B0F">
        <w:rPr>
          <w:lang w:val="pt-BR"/>
        </w:rPr>
        <w:t xml:space="preserve">que o </w:t>
      </w:r>
      <w:proofErr w:type="spellStart"/>
      <w:r w:rsidR="006F6B0F" w:rsidRPr="006F6B0F">
        <w:rPr>
          <w:lang w:val="pt-BR"/>
        </w:rPr>
        <w:t>mensalismo</w:t>
      </w:r>
      <w:proofErr w:type="spellEnd"/>
      <w:r w:rsidR="006F6B0F" w:rsidRPr="006F6B0F">
        <w:rPr>
          <w:lang w:val="pt-BR"/>
        </w:rPr>
        <w:t xml:space="preserve"> em ambas as raças, mas </w:t>
      </w:r>
      <w:r w:rsidR="006F6B0F">
        <w:rPr>
          <w:lang w:val="pt-BR"/>
        </w:rPr>
        <w:t>e</w:t>
      </w:r>
      <w:r w:rsidR="006F6B0F" w:rsidRPr="006F6B0F">
        <w:rPr>
          <w:lang w:val="pt-BR"/>
        </w:rPr>
        <w:t>m m</w:t>
      </w:r>
      <w:r w:rsidR="006B7B6D">
        <w:rPr>
          <w:lang w:val="pt-BR"/>
        </w:rPr>
        <w:t>ontantes</w:t>
      </w:r>
      <w:r w:rsidR="006F6B0F" w:rsidRPr="006F6B0F">
        <w:rPr>
          <w:lang w:val="pt-BR"/>
        </w:rPr>
        <w:t xml:space="preserve"> desiguais: trabalhadoras não-negras passam de R$ 10,68/h no </w:t>
      </w:r>
      <w:proofErr w:type="spellStart"/>
      <w:r w:rsidR="006F6B0F" w:rsidRPr="006F6B0F">
        <w:rPr>
          <w:lang w:val="pt-BR"/>
        </w:rPr>
        <w:t>mensalismo</w:t>
      </w:r>
      <w:proofErr w:type="spellEnd"/>
      <w:r w:rsidR="006F6B0F" w:rsidRPr="006F6B0F">
        <w:rPr>
          <w:lang w:val="pt-BR"/>
        </w:rPr>
        <w:t xml:space="preserve"> para R$ 14,12/h no </w:t>
      </w:r>
      <w:proofErr w:type="spellStart"/>
      <w:r w:rsidR="006F6B0F" w:rsidRPr="006F6B0F">
        <w:rPr>
          <w:lang w:val="pt-BR"/>
        </w:rPr>
        <w:t>diarismo</w:t>
      </w:r>
      <w:proofErr w:type="spellEnd"/>
      <w:r w:rsidR="006F6B0F" w:rsidRPr="006F6B0F">
        <w:rPr>
          <w:lang w:val="pt-BR"/>
        </w:rPr>
        <w:t xml:space="preserve"> </w:t>
      </w:r>
      <w:r w:rsidR="006B7B6D">
        <w:rPr>
          <w:lang w:val="pt-BR"/>
        </w:rPr>
        <w:t>(</w:t>
      </w:r>
      <w:r w:rsidR="006F6B0F" w:rsidRPr="006F6B0F">
        <w:rPr>
          <w:lang w:val="pt-BR"/>
        </w:rPr>
        <w:t>um</w:t>
      </w:r>
      <w:r w:rsidR="006B7B6D">
        <w:rPr>
          <w:lang w:val="pt-BR"/>
        </w:rPr>
        <w:t>a compensação</w:t>
      </w:r>
      <w:r w:rsidR="006F6B0F" w:rsidRPr="006F6B0F">
        <w:rPr>
          <w:lang w:val="pt-BR"/>
        </w:rPr>
        <w:t xml:space="preserve"> de R$ 3,44 por hora</w:t>
      </w:r>
      <w:r w:rsidR="006B7B6D">
        <w:rPr>
          <w:lang w:val="pt-BR"/>
        </w:rPr>
        <w:t>)</w:t>
      </w:r>
      <w:r w:rsidR="006F6B0F" w:rsidRPr="006F6B0F">
        <w:rPr>
          <w:lang w:val="pt-BR"/>
        </w:rPr>
        <w:t>, enquanto trabalhadoras negras passam de R$ 10,32/h para R$ 11,90/h</w:t>
      </w:r>
      <w:r w:rsidR="006B7B6D">
        <w:rPr>
          <w:lang w:val="pt-BR"/>
        </w:rPr>
        <w:t xml:space="preserve"> (</w:t>
      </w:r>
      <w:r w:rsidR="006F6B0F" w:rsidRPr="006F6B0F">
        <w:rPr>
          <w:lang w:val="pt-BR"/>
        </w:rPr>
        <w:t>um</w:t>
      </w:r>
      <w:r w:rsidR="006B7B6D">
        <w:rPr>
          <w:lang w:val="pt-BR"/>
        </w:rPr>
        <w:t>a</w:t>
      </w:r>
      <w:r w:rsidR="006F6B0F" w:rsidRPr="006F6B0F">
        <w:rPr>
          <w:lang w:val="pt-BR"/>
        </w:rPr>
        <w:t xml:space="preserve"> </w:t>
      </w:r>
      <w:r w:rsidR="006B7B6D">
        <w:rPr>
          <w:lang w:val="pt-BR"/>
        </w:rPr>
        <w:t>compensação</w:t>
      </w:r>
      <w:r w:rsidR="006F6B0F" w:rsidRPr="006F6B0F">
        <w:rPr>
          <w:lang w:val="pt-BR"/>
        </w:rPr>
        <w:t xml:space="preserve"> de apenas R$ 1,58 por hora</w:t>
      </w:r>
      <w:r w:rsidR="006B7B6D">
        <w:rPr>
          <w:lang w:val="pt-BR"/>
        </w:rPr>
        <w:t>)</w:t>
      </w:r>
      <w:r w:rsidR="006F6B0F" w:rsidRPr="006F6B0F">
        <w:rPr>
          <w:lang w:val="pt-BR"/>
        </w:rPr>
        <w:t xml:space="preserve">. </w:t>
      </w:r>
      <w:r w:rsidR="006B7B6D">
        <w:rPr>
          <w:lang w:val="pt-BR"/>
        </w:rPr>
        <w:t>O adicional</w:t>
      </w:r>
      <w:r w:rsidR="006F6B0F" w:rsidRPr="006F6B0F">
        <w:rPr>
          <w:lang w:val="pt-BR"/>
        </w:rPr>
        <w:t xml:space="preserve"> </w:t>
      </w:r>
      <w:r w:rsidR="006B7B6D">
        <w:rPr>
          <w:lang w:val="pt-BR"/>
        </w:rPr>
        <w:t xml:space="preserve">da função de </w:t>
      </w:r>
      <w:r w:rsidR="006F6B0F" w:rsidRPr="006F6B0F">
        <w:rPr>
          <w:lang w:val="pt-BR"/>
        </w:rPr>
        <w:t>diarista existe para ambas, mas é racialmente descontado em mais da metade.</w:t>
      </w:r>
    </w:p>
    <w:p w14:paraId="1A928EA3" w14:textId="373C5C9D" w:rsidR="00E1700A" w:rsidRPr="00C40C24" w:rsidRDefault="00C40C24" w:rsidP="002C4449">
      <w:pPr>
        <w:jc w:val="both"/>
        <w:rPr>
          <w:rFonts w:ascii="Times New Roman" w:hAnsi="Times New Roman" w:cs="Times New Roman"/>
          <w:lang w:val="pt-BR"/>
        </w:rPr>
      </w:pPr>
      <w:r w:rsidRPr="00C40C24">
        <w:rPr>
          <w:rFonts w:ascii="Times New Roman" w:hAnsi="Times New Roman" w:cs="Times New Roman"/>
          <w:lang w:val="pt-BR"/>
        </w:rPr>
        <w:t>Esse achado reposiciona o sentido político do ciclo EC 72 + LC 150 + Reforma 2017</w:t>
      </w:r>
      <w:r w:rsidR="007E663C">
        <w:rPr>
          <w:rFonts w:ascii="Times New Roman" w:hAnsi="Times New Roman" w:cs="Times New Roman"/>
          <w:lang w:val="pt-BR"/>
        </w:rPr>
        <w:t>.</w:t>
      </w:r>
      <w:r w:rsidRPr="00C40C24">
        <w:rPr>
          <w:rFonts w:ascii="Times New Roman" w:hAnsi="Times New Roman" w:cs="Times New Roman"/>
          <w:lang w:val="pt-BR"/>
        </w:rPr>
        <w:t xml:space="preserve"> A regulação não criou </w:t>
      </w:r>
      <w:r w:rsidR="007E663C">
        <w:rPr>
          <w:rFonts w:ascii="Times New Roman" w:hAnsi="Times New Roman" w:cs="Times New Roman"/>
          <w:lang w:val="pt-BR"/>
        </w:rPr>
        <w:t>desigualdade</w:t>
      </w:r>
      <w:r w:rsidRPr="00C40C24">
        <w:rPr>
          <w:rFonts w:ascii="Times New Roman" w:hAnsi="Times New Roman" w:cs="Times New Roman"/>
          <w:lang w:val="pt-BR"/>
        </w:rPr>
        <w:t xml:space="preserve"> racial no valor horário do trabalho doméstico</w:t>
      </w:r>
      <w:r w:rsidR="007E663C">
        <w:rPr>
          <w:rFonts w:ascii="Times New Roman" w:hAnsi="Times New Roman" w:cs="Times New Roman"/>
          <w:lang w:val="pt-BR"/>
        </w:rPr>
        <w:t>, pois</w:t>
      </w:r>
      <w:r w:rsidRPr="00C40C24">
        <w:rPr>
          <w:rFonts w:ascii="Times New Roman" w:hAnsi="Times New Roman" w:cs="Times New Roman"/>
          <w:lang w:val="pt-BR"/>
        </w:rPr>
        <w:t xml:space="preserve"> </w:t>
      </w:r>
      <w:r w:rsidR="007E663C">
        <w:rPr>
          <w:rFonts w:ascii="Times New Roman" w:hAnsi="Times New Roman" w:cs="Times New Roman"/>
          <w:lang w:val="pt-BR"/>
        </w:rPr>
        <w:t>a desigualdade</w:t>
      </w:r>
      <w:r w:rsidRPr="00C40C24">
        <w:rPr>
          <w:rFonts w:ascii="Times New Roman" w:hAnsi="Times New Roman" w:cs="Times New Roman"/>
          <w:lang w:val="pt-BR"/>
        </w:rPr>
        <w:t xml:space="preserve"> é constitutiv</w:t>
      </w:r>
      <w:r w:rsidR="007E663C">
        <w:rPr>
          <w:rFonts w:ascii="Times New Roman" w:hAnsi="Times New Roman" w:cs="Times New Roman"/>
          <w:lang w:val="pt-BR"/>
        </w:rPr>
        <w:t>a</w:t>
      </w:r>
      <w:r w:rsidRPr="00C40C24">
        <w:rPr>
          <w:rFonts w:ascii="Times New Roman" w:hAnsi="Times New Roman" w:cs="Times New Roman"/>
          <w:lang w:val="pt-BR"/>
        </w:rPr>
        <w:t xml:space="preserve"> da própr</w:t>
      </w:r>
      <w:r w:rsidR="002C4449">
        <w:rPr>
          <w:rFonts w:ascii="Times New Roman" w:hAnsi="Times New Roman" w:cs="Times New Roman"/>
          <w:lang w:val="pt-BR"/>
        </w:rPr>
        <w:t xml:space="preserve">ia categoria do trabalho doméstico </w:t>
      </w:r>
      <w:r w:rsidR="002C4449" w:rsidRPr="00C40C24">
        <w:rPr>
          <w:rFonts w:ascii="Times New Roman" w:hAnsi="Times New Roman" w:cs="Times New Roman"/>
          <w:lang w:val="pt-BR"/>
        </w:rPr>
        <w:t>(Bernardino-Costa, 2015; Carneiro, 2003)</w:t>
      </w:r>
      <w:r w:rsidRPr="00C40C24">
        <w:rPr>
          <w:rFonts w:ascii="Times New Roman" w:hAnsi="Times New Roman" w:cs="Times New Roman"/>
          <w:lang w:val="pt-BR"/>
        </w:rPr>
        <w:t>,</w:t>
      </w:r>
      <w:r w:rsidR="002C4449">
        <w:rPr>
          <w:rFonts w:ascii="Times New Roman" w:hAnsi="Times New Roman" w:cs="Times New Roman"/>
          <w:lang w:val="pt-BR"/>
        </w:rPr>
        <w:t xml:space="preserve"> </w:t>
      </w:r>
      <w:r w:rsidRPr="00C40C24">
        <w:rPr>
          <w:rFonts w:ascii="Times New Roman" w:hAnsi="Times New Roman" w:cs="Times New Roman"/>
          <w:lang w:val="pt-BR"/>
        </w:rPr>
        <w:t>mas ao expandir o regime contratual em que ess</w:t>
      </w:r>
      <w:r w:rsidR="002C4449">
        <w:rPr>
          <w:rFonts w:ascii="Times New Roman" w:hAnsi="Times New Roman" w:cs="Times New Roman"/>
          <w:lang w:val="pt-BR"/>
        </w:rPr>
        <w:t>a desigualdade</w:t>
      </w:r>
      <w:r w:rsidRPr="00C40C24">
        <w:rPr>
          <w:rFonts w:ascii="Times New Roman" w:hAnsi="Times New Roman" w:cs="Times New Roman"/>
          <w:lang w:val="pt-BR"/>
        </w:rPr>
        <w:t xml:space="preserve"> é mais agud</w:t>
      </w:r>
      <w:r w:rsidR="002C4449">
        <w:rPr>
          <w:rFonts w:ascii="Times New Roman" w:hAnsi="Times New Roman" w:cs="Times New Roman"/>
          <w:lang w:val="pt-BR"/>
        </w:rPr>
        <w:t>a</w:t>
      </w:r>
      <w:r w:rsidRPr="00C40C24">
        <w:rPr>
          <w:rFonts w:ascii="Times New Roman" w:hAnsi="Times New Roman" w:cs="Times New Roman"/>
          <w:lang w:val="pt-BR"/>
        </w:rPr>
        <w:t>,</w:t>
      </w:r>
      <w:r w:rsidR="006B7B6D">
        <w:rPr>
          <w:rFonts w:ascii="Times New Roman" w:hAnsi="Times New Roman" w:cs="Times New Roman"/>
          <w:lang w:val="pt-BR"/>
        </w:rPr>
        <w:t xml:space="preserve"> isto é, </w:t>
      </w:r>
      <w:r w:rsidR="006B7B6D" w:rsidRPr="006B7B6D">
        <w:rPr>
          <w:rFonts w:ascii="Times New Roman" w:hAnsi="Times New Roman" w:cs="Times New Roman"/>
          <w:lang w:val="pt-BR"/>
        </w:rPr>
        <w:t>ao tornar o regime diarista uma fatia maior da categoria</w:t>
      </w:r>
      <w:r w:rsidR="006B7B6D">
        <w:rPr>
          <w:rFonts w:ascii="Times New Roman" w:hAnsi="Times New Roman" w:cs="Times New Roman"/>
          <w:lang w:val="pt-BR"/>
        </w:rPr>
        <w:t>,</w:t>
      </w:r>
      <w:r w:rsidRPr="00C40C24">
        <w:rPr>
          <w:rFonts w:ascii="Times New Roman" w:hAnsi="Times New Roman" w:cs="Times New Roman"/>
          <w:lang w:val="pt-BR"/>
        </w:rPr>
        <w:t xml:space="preserve"> ela amplificou o peso da hierarquia racial na composição da remuneração </w:t>
      </w:r>
      <w:r w:rsidR="002C4449">
        <w:rPr>
          <w:rFonts w:ascii="Times New Roman" w:hAnsi="Times New Roman" w:cs="Times New Roman"/>
          <w:lang w:val="pt-BR"/>
        </w:rPr>
        <w:t>da trabalhadora negra</w:t>
      </w:r>
      <w:r w:rsidRPr="00C40C24">
        <w:rPr>
          <w:rFonts w:ascii="Times New Roman" w:hAnsi="Times New Roman" w:cs="Times New Roman"/>
          <w:lang w:val="pt-BR"/>
        </w:rPr>
        <w:t>. Os depoimentos</w:t>
      </w:r>
      <w:r w:rsidR="002C4449">
        <w:rPr>
          <w:rFonts w:ascii="Times New Roman" w:hAnsi="Times New Roman" w:cs="Times New Roman"/>
          <w:lang w:val="pt-BR"/>
        </w:rPr>
        <w:t>/dados</w:t>
      </w:r>
      <w:r w:rsidRPr="00C40C24">
        <w:rPr>
          <w:rFonts w:ascii="Times New Roman" w:hAnsi="Times New Roman" w:cs="Times New Roman"/>
          <w:lang w:val="pt-BR"/>
        </w:rPr>
        <w:t xml:space="preserve"> colhidos em nossas pesquisas com o Sindicato, que apresentamos nas próximas seções, devem ser lidos contra esse pano de fundo</w:t>
      </w:r>
      <w:r w:rsidR="002C4449">
        <w:rPr>
          <w:rFonts w:ascii="Times New Roman" w:hAnsi="Times New Roman" w:cs="Times New Roman"/>
          <w:lang w:val="pt-BR"/>
        </w:rPr>
        <w:t>.</w:t>
      </w:r>
      <w:r w:rsidRPr="00C40C24">
        <w:rPr>
          <w:rFonts w:ascii="Times New Roman" w:hAnsi="Times New Roman" w:cs="Times New Roman"/>
          <w:lang w:val="pt-BR"/>
        </w:rPr>
        <w:t xml:space="preserve"> O </w:t>
      </w:r>
      <w:proofErr w:type="spellStart"/>
      <w:r w:rsidRPr="00C40C24">
        <w:rPr>
          <w:rFonts w:ascii="Times New Roman" w:hAnsi="Times New Roman" w:cs="Times New Roman"/>
          <w:lang w:val="pt-BR"/>
        </w:rPr>
        <w:t>diarismo</w:t>
      </w:r>
      <w:proofErr w:type="spellEnd"/>
      <w:r w:rsidRPr="00C40C24">
        <w:rPr>
          <w:rFonts w:ascii="Times New Roman" w:hAnsi="Times New Roman" w:cs="Times New Roman"/>
          <w:lang w:val="pt-BR"/>
        </w:rPr>
        <w:t>, para a categoria, foi o vetor por onde a continuidade colonial do trabalho doméstico brasileiro</w:t>
      </w:r>
      <w:r w:rsidR="002C4449">
        <w:rPr>
          <w:rFonts w:ascii="Times New Roman" w:hAnsi="Times New Roman" w:cs="Times New Roman"/>
          <w:lang w:val="pt-BR"/>
        </w:rPr>
        <w:t xml:space="preserve"> </w:t>
      </w:r>
      <w:r w:rsidRPr="00C40C24">
        <w:rPr>
          <w:rFonts w:ascii="Times New Roman" w:hAnsi="Times New Roman" w:cs="Times New Roman"/>
          <w:lang w:val="pt-BR"/>
        </w:rPr>
        <w:t>encontrou um novo abrigo regulatório, agora legitimado pelo léxico da "autonomia" do trabalhador.</w:t>
      </w:r>
    </w:p>
    <w:p w14:paraId="68B1F908" w14:textId="32365344" w:rsidR="006B7B6D" w:rsidRDefault="006B7B6D" w:rsidP="00C40C24">
      <w:pPr>
        <w:pStyle w:val="font-claude-response-body"/>
        <w:rPr>
          <w:lang w:val="pt-BR"/>
        </w:rPr>
      </w:pPr>
      <w:r>
        <w:rPr>
          <w:lang w:val="pt-BR"/>
        </w:rPr>
        <w:lastRenderedPageBreak/>
        <w:t>Referências:</w:t>
      </w:r>
    </w:p>
    <w:p w14:paraId="38FA7763" w14:textId="16A8E6FB" w:rsidR="006B7B6D" w:rsidRPr="006B7B6D" w:rsidRDefault="006B7B6D" w:rsidP="00C40C24">
      <w:pPr>
        <w:pStyle w:val="font-claude-response-body"/>
        <w:rPr>
          <w:lang w:val="pt-BR"/>
        </w:rPr>
      </w:pPr>
      <w:r w:rsidRPr="006B7B6D">
        <w:rPr>
          <w:lang w:val="pt-BR"/>
        </w:rPr>
        <w:t>ACCIARI</w:t>
      </w:r>
      <w:r w:rsidRPr="006B7B6D">
        <w:rPr>
          <w:lang w:val="pt-BR"/>
        </w:rPr>
        <w:t>, L; (2016) “Foi difícil, mas sempre falo que nós somos guerreiras” – O movimento das trabalhadoras domésticas entre a marginalidade e o empoderamento. Mosaico</w:t>
      </w:r>
      <w:r>
        <w:rPr>
          <w:lang w:val="pt-BR"/>
        </w:rPr>
        <w:t>,</w:t>
      </w:r>
      <w:r w:rsidRPr="006B7B6D">
        <w:rPr>
          <w:lang w:val="pt-BR"/>
        </w:rPr>
        <w:t xml:space="preserve"> 7 (11) p. 124. 10.12660/</w:t>
      </w:r>
      <w:proofErr w:type="gramStart"/>
      <w:r w:rsidRPr="006B7B6D">
        <w:rPr>
          <w:lang w:val="pt-BR"/>
        </w:rPr>
        <w:t>rm.v</w:t>
      </w:r>
      <w:proofErr w:type="gramEnd"/>
      <w:r w:rsidRPr="006B7B6D">
        <w:rPr>
          <w:lang w:val="pt-BR"/>
        </w:rPr>
        <w:t>7n11.2016.64780.</w:t>
      </w:r>
    </w:p>
    <w:p w14:paraId="05B77040" w14:textId="19448FDC" w:rsidR="006B7B6D" w:rsidRDefault="006B7B6D" w:rsidP="006B7B6D">
      <w:pPr>
        <w:pStyle w:val="font-claude-response-body"/>
        <w:rPr>
          <w:lang w:val="pt-BR"/>
        </w:rPr>
      </w:pPr>
      <w:r w:rsidRPr="006B7B6D">
        <w:rPr>
          <w:lang w:val="pt-BR"/>
        </w:rPr>
        <w:t>BERNARDINO-COSTA</w:t>
      </w:r>
      <w:r w:rsidRPr="006B7B6D">
        <w:rPr>
          <w:lang w:val="pt-BR"/>
        </w:rPr>
        <w:t xml:space="preserve">, </w:t>
      </w:r>
      <w:proofErr w:type="gramStart"/>
      <w:r w:rsidRPr="006B7B6D">
        <w:rPr>
          <w:lang w:val="pt-BR"/>
        </w:rPr>
        <w:t>J..</w:t>
      </w:r>
      <w:proofErr w:type="gramEnd"/>
      <w:r w:rsidRPr="006B7B6D">
        <w:rPr>
          <w:lang w:val="pt-BR"/>
        </w:rPr>
        <w:t xml:space="preserve"> (2015). Decolonialidade e interseccionalidade emancipadora: a organização política das trabalhadoras domésticas no Brasil. </w:t>
      </w:r>
      <w:r w:rsidRPr="006B7B6D">
        <w:rPr>
          <w:i/>
          <w:iCs/>
          <w:lang w:val="pt-BR"/>
        </w:rPr>
        <w:t>Sociedade E Estado</w:t>
      </w:r>
      <w:r w:rsidRPr="006B7B6D">
        <w:rPr>
          <w:lang w:val="pt-BR"/>
        </w:rPr>
        <w:t xml:space="preserve">, </w:t>
      </w:r>
      <w:r w:rsidRPr="006B7B6D">
        <w:rPr>
          <w:i/>
          <w:iCs/>
          <w:lang w:val="pt-BR"/>
        </w:rPr>
        <w:t>30</w:t>
      </w:r>
      <w:r w:rsidRPr="006B7B6D">
        <w:rPr>
          <w:lang w:val="pt-BR"/>
        </w:rPr>
        <w:t>(1), 147–163. https://doi.org/10.1590/S0102-69922015000100009</w:t>
      </w:r>
    </w:p>
    <w:p w14:paraId="533D442A" w14:textId="3AF9A7D8" w:rsidR="006B7B6D" w:rsidRPr="006B7B6D" w:rsidRDefault="006B7B6D" w:rsidP="006B7B6D">
      <w:pPr>
        <w:pStyle w:val="font-claude-response-body"/>
        <w:rPr>
          <w:lang w:val="pt-BR"/>
        </w:rPr>
      </w:pPr>
      <w:r w:rsidRPr="006B7B6D">
        <w:rPr>
          <w:lang w:val="pt-BR"/>
        </w:rPr>
        <w:t xml:space="preserve">CARNEIRO, </w:t>
      </w:r>
      <w:proofErr w:type="gramStart"/>
      <w:r w:rsidRPr="006B7B6D">
        <w:rPr>
          <w:lang w:val="pt-BR"/>
        </w:rPr>
        <w:t>S..</w:t>
      </w:r>
      <w:proofErr w:type="gramEnd"/>
      <w:r w:rsidRPr="006B7B6D">
        <w:rPr>
          <w:lang w:val="pt-BR"/>
        </w:rPr>
        <w:t xml:space="preserve"> </w:t>
      </w:r>
      <w:r w:rsidRPr="006B7B6D">
        <w:rPr>
          <w:lang w:val="pt-BR"/>
        </w:rPr>
        <w:t>(2003). Mulheres em movimento. Estudos Avançados, 17(49), 117–133. https://doi.org/10.1590/S0103-40142003000300008</w:t>
      </w:r>
    </w:p>
    <w:p w14:paraId="7C682C90" w14:textId="523BC8DD" w:rsidR="006B7B6D" w:rsidRPr="006B7B6D" w:rsidRDefault="006B7B6D" w:rsidP="00C40C24">
      <w:pPr>
        <w:pStyle w:val="font-claude-response-body"/>
        <w:rPr>
          <w:lang w:val="pt-BR"/>
        </w:rPr>
      </w:pPr>
      <w:r w:rsidRPr="006B7B6D">
        <w:rPr>
          <w:lang w:val="pt-BR"/>
        </w:rPr>
        <w:t xml:space="preserve">KREIN, José </w:t>
      </w:r>
      <w:proofErr w:type="spellStart"/>
      <w:r w:rsidRPr="006B7B6D">
        <w:rPr>
          <w:lang w:val="pt-BR"/>
        </w:rPr>
        <w:t>Dari</w:t>
      </w:r>
      <w:proofErr w:type="spellEnd"/>
      <w:r w:rsidRPr="006B7B6D">
        <w:rPr>
          <w:lang w:val="pt-BR"/>
        </w:rPr>
        <w:t xml:space="preserve">; GIMENEZ, Denis </w:t>
      </w:r>
      <w:proofErr w:type="spellStart"/>
      <w:r w:rsidRPr="006B7B6D">
        <w:rPr>
          <w:lang w:val="pt-BR"/>
        </w:rPr>
        <w:t>Maracci</w:t>
      </w:r>
      <w:proofErr w:type="spellEnd"/>
      <w:r w:rsidRPr="006B7B6D">
        <w:rPr>
          <w:lang w:val="pt-BR"/>
        </w:rPr>
        <w:t xml:space="preserve">; SANTOS, Anselmo </w:t>
      </w:r>
      <w:proofErr w:type="spellStart"/>
      <w:r w:rsidRPr="006B7B6D">
        <w:rPr>
          <w:lang w:val="pt-BR"/>
        </w:rPr>
        <w:t>Luis</w:t>
      </w:r>
      <w:proofErr w:type="spellEnd"/>
      <w:r w:rsidRPr="006B7B6D">
        <w:rPr>
          <w:lang w:val="pt-BR"/>
        </w:rPr>
        <w:t xml:space="preserve"> dos (org.). Dimensões críticas da reforma trabalhista no Brasil. Campinas: Curt </w:t>
      </w:r>
      <w:proofErr w:type="spellStart"/>
      <w:r w:rsidRPr="006B7B6D">
        <w:rPr>
          <w:lang w:val="pt-BR"/>
        </w:rPr>
        <w:t>Nimuendajú</w:t>
      </w:r>
      <w:proofErr w:type="spellEnd"/>
      <w:r w:rsidRPr="006B7B6D">
        <w:rPr>
          <w:lang w:val="pt-BR"/>
        </w:rPr>
        <w:t>, 2018.</w:t>
      </w:r>
    </w:p>
    <w:p w14:paraId="50283916" w14:textId="71CCA9EA" w:rsidR="006B7B6D" w:rsidRPr="006B7B6D" w:rsidRDefault="006B7B6D" w:rsidP="00C40C24">
      <w:pPr>
        <w:pStyle w:val="font-claude-response-body"/>
        <w:rPr>
          <w:lang w:val="pt-BR"/>
        </w:rPr>
      </w:pPr>
      <w:r w:rsidRPr="006B7B6D">
        <w:rPr>
          <w:lang w:val="pt-BR"/>
        </w:rPr>
        <w:t xml:space="preserve">PINHEIRO, Luana </w:t>
      </w:r>
      <w:r w:rsidRPr="006B7B6D">
        <w:rPr>
          <w:rStyle w:val="Emphasis"/>
          <w:rFonts w:eastAsiaTheme="majorEastAsia"/>
          <w:lang w:val="pt-BR"/>
        </w:rPr>
        <w:t>et al</w:t>
      </w:r>
      <w:r w:rsidRPr="006B7B6D">
        <w:rPr>
          <w:lang w:val="pt-BR"/>
        </w:rPr>
        <w:t xml:space="preserve">. </w:t>
      </w:r>
      <w:r w:rsidRPr="006B7B6D">
        <w:rPr>
          <w:rStyle w:val="Strong"/>
          <w:rFonts w:eastAsiaTheme="majorEastAsia"/>
          <w:lang w:val="pt-BR"/>
        </w:rPr>
        <w:t>Os desafios do passado no trabalho doméstico do século XXI</w:t>
      </w:r>
      <w:r w:rsidRPr="006B7B6D">
        <w:rPr>
          <w:lang w:val="pt-BR"/>
        </w:rPr>
        <w:t>: reflexões para o caso brasileiro a partir dos dados da PNAD Contínua. Brasília: Rio de Janeiro: Ipea, 2019. (Texto para Discussão, n. 2528). Disponível em: http://www.ipea.gov.br/portal/publicacoes. Acesso em: 11 jun. 2026.</w:t>
      </w:r>
    </w:p>
    <w:p w14:paraId="336441A6" w14:textId="77777777" w:rsidR="00C40C24" w:rsidRPr="00C40C24" w:rsidRDefault="00C40C24" w:rsidP="00C40C24">
      <w:pPr>
        <w:rPr>
          <w:rFonts w:ascii="Times New Roman" w:hAnsi="Times New Roman" w:cs="Times New Roman"/>
          <w:lang w:val="pt-BR"/>
        </w:rPr>
      </w:pPr>
    </w:p>
    <w:sectPr w:rsidR="00C40C24" w:rsidRPr="00C40C24" w:rsidSect="00EC0F56">
      <w:pgSz w:w="12240" w:h="15840"/>
      <w:pgMar w:top="1440" w:right="2268" w:bottom="1440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AF6B" w14:textId="77777777" w:rsidR="00E01563" w:rsidRDefault="00E01563" w:rsidP="00C07B66">
      <w:pPr>
        <w:spacing w:after="0" w:line="240" w:lineRule="auto"/>
      </w:pPr>
      <w:r>
        <w:separator/>
      </w:r>
    </w:p>
  </w:endnote>
  <w:endnote w:type="continuationSeparator" w:id="0">
    <w:p w14:paraId="379F883C" w14:textId="77777777" w:rsidR="00E01563" w:rsidRDefault="00E01563" w:rsidP="00C07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8425B" w14:textId="77777777" w:rsidR="00E01563" w:rsidRDefault="00E01563" w:rsidP="00C07B66">
      <w:pPr>
        <w:spacing w:after="0" w:line="240" w:lineRule="auto"/>
      </w:pPr>
      <w:r>
        <w:separator/>
      </w:r>
    </w:p>
  </w:footnote>
  <w:footnote w:type="continuationSeparator" w:id="0">
    <w:p w14:paraId="1650D968" w14:textId="77777777" w:rsidR="00E01563" w:rsidRDefault="00E01563" w:rsidP="00C07B66">
      <w:pPr>
        <w:spacing w:after="0" w:line="240" w:lineRule="auto"/>
      </w:pPr>
      <w:r>
        <w:continuationSeparator/>
      </w:r>
    </w:p>
  </w:footnote>
  <w:footnote w:id="1">
    <w:p w14:paraId="2B2F64D7" w14:textId="117E0C62" w:rsidR="00C07B66" w:rsidRPr="00C07B66" w:rsidRDefault="00C07B66" w:rsidP="00C07B66">
      <w:pPr>
        <w:pStyle w:val="FootnoteText"/>
        <w:jc w:val="both"/>
        <w:rPr>
          <w:rFonts w:ascii="Times New Roman" w:hAnsi="Times New Roman" w:cs="Times New Roman"/>
          <w:lang w:val="pt-BR"/>
        </w:rPr>
      </w:pPr>
      <w:r w:rsidRPr="00C07B66">
        <w:rPr>
          <w:rStyle w:val="FootnoteReference"/>
          <w:rFonts w:ascii="Times New Roman" w:hAnsi="Times New Roman" w:cs="Times New Roman"/>
          <w:lang w:val="pt-BR"/>
        </w:rPr>
        <w:footnoteRef/>
      </w:r>
      <w:r w:rsidRPr="00C07B66">
        <w:rPr>
          <w:rFonts w:ascii="Times New Roman" w:hAnsi="Times New Roman" w:cs="Times New Roman"/>
          <w:lang w:val="pt-BR"/>
        </w:rPr>
        <w:t xml:space="preserve"> Os números apresentados neste parágrafo, bem como os detalhes metodológicos do cruzamento V4024 × VD4009 × V2010 e os tamanhos amostrais por célula, estão disponíveis no painel público mantido pelos autores em parceria com o STDMSP, seção "Onde o preço da hora </w:t>
      </w:r>
      <w:proofErr w:type="spellStart"/>
      <w:r w:rsidRPr="00C07B66">
        <w:rPr>
          <w:rFonts w:ascii="Times New Roman" w:hAnsi="Times New Roman" w:cs="Times New Roman"/>
          <w:lang w:val="pt-BR"/>
        </w:rPr>
        <w:t>racializa</w:t>
      </w:r>
      <w:proofErr w:type="spellEnd"/>
      <w:r w:rsidRPr="00C07B66">
        <w:rPr>
          <w:rFonts w:ascii="Times New Roman" w:hAnsi="Times New Roman" w:cs="Times New Roman"/>
          <w:lang w:val="pt-BR"/>
        </w:rPr>
        <w:t xml:space="preserve">: dentro do contrato diarista" (§3.20 da metodologia). Sobre a literatura de informalização </w:t>
      </w:r>
      <w:proofErr w:type="spellStart"/>
      <w:r w:rsidRPr="00C07B66">
        <w:rPr>
          <w:rFonts w:ascii="Times New Roman" w:hAnsi="Times New Roman" w:cs="Times New Roman"/>
          <w:lang w:val="pt-BR"/>
        </w:rPr>
        <w:t>racializada</w:t>
      </w:r>
      <w:proofErr w:type="spellEnd"/>
      <w:r w:rsidRPr="00C07B66">
        <w:rPr>
          <w:rFonts w:ascii="Times New Roman" w:hAnsi="Times New Roman" w:cs="Times New Roman"/>
          <w:lang w:val="pt-BR"/>
        </w:rPr>
        <w:t xml:space="preserve"> que prevê esse padrão estrutural, ver Pinheiro et al. (IPEA), </w:t>
      </w:r>
      <w:proofErr w:type="spellStart"/>
      <w:r w:rsidRPr="00C07B66">
        <w:rPr>
          <w:rFonts w:ascii="Times New Roman" w:hAnsi="Times New Roman" w:cs="Times New Roman"/>
          <w:lang w:val="pt-BR"/>
        </w:rPr>
        <w:t>Acciari</w:t>
      </w:r>
      <w:proofErr w:type="spellEnd"/>
      <w:r w:rsidRPr="00C07B66">
        <w:rPr>
          <w:rFonts w:ascii="Times New Roman" w:hAnsi="Times New Roman" w:cs="Times New Roman"/>
          <w:lang w:val="pt-BR"/>
        </w:rPr>
        <w:t>, Hirata e Bernardino-Costa.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24"/>
    <w:rsid w:val="000878EF"/>
    <w:rsid w:val="002C4449"/>
    <w:rsid w:val="00343068"/>
    <w:rsid w:val="00673769"/>
    <w:rsid w:val="006B7B6D"/>
    <w:rsid w:val="006F6B0F"/>
    <w:rsid w:val="007E663C"/>
    <w:rsid w:val="00AF4A51"/>
    <w:rsid w:val="00C000E2"/>
    <w:rsid w:val="00C07B66"/>
    <w:rsid w:val="00C40C24"/>
    <w:rsid w:val="00CD21A8"/>
    <w:rsid w:val="00DE2F6B"/>
    <w:rsid w:val="00E01563"/>
    <w:rsid w:val="00E1700A"/>
    <w:rsid w:val="00EC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E801E"/>
  <w15:chartTrackingRefBased/>
  <w15:docId w15:val="{D7DA5345-0052-B341-962B-DC803D0A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2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40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40C24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7B6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7B6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7B66"/>
    <w:rPr>
      <w:vertAlign w:val="superscript"/>
    </w:rPr>
  </w:style>
  <w:style w:type="character" w:styleId="Strong">
    <w:name w:val="Strong"/>
    <w:basedOn w:val="DefaultParagraphFont"/>
    <w:uiPriority w:val="22"/>
    <w:qFormat/>
    <w:rsid w:val="006B7B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77F6BB-C914-174A-B664-3012DE345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Roque</dc:creator>
  <cp:keywords/>
  <dc:description/>
  <cp:lastModifiedBy>João Roque</cp:lastModifiedBy>
  <cp:revision>1</cp:revision>
  <dcterms:created xsi:type="dcterms:W3CDTF">2026-06-11T14:37:00Z</dcterms:created>
  <dcterms:modified xsi:type="dcterms:W3CDTF">2026-06-11T18:44:00Z</dcterms:modified>
</cp:coreProperties>
</file>