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Assessora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="240" w:lineRule="auto"/>
        <w:rPr/>
      </w:pPr>
      <w:r w:rsidDel="00000000" w:rsidR="00000000" w:rsidRPr="00000000">
        <w:rPr>
          <w:rtl w:val="0"/>
        </w:rPr>
        <w:t xml:space="preserve">SPRINT 03: ITEM 1 – PANORAMA DE FUNCIONALIDADES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Aviso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existe um limite mínimo ou máximo de funcionalidades que um sistema precisa apresentar, porém, quando pensamos em manter o usuário o mais engajado possível ou motivá-lo a baixar o aplicativo, a solução precisa apresentar um conjunto de funcionalidades que estará ajudando o usuário; não dando mais trabalho para 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504"/>
        <w:tblGridChange w:id="0">
          <w:tblGrid>
            <w:gridCol w:w="846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16768759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Importância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85f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caracteriza por uma funcionalidade extra dentro de um sistema. É uma funcionalidade que se não existisse, não deixaria tanta saudade para 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16768759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Importância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96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caracteriza por uma funcionalidade que não é frequentemente utilizada pelo usuário. Não é uma funcionalidade que existe logo no início do sistema; que pode ser implementada em versões futuras.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16768759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Importância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a78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caracteriza por ser uma funcionalidade que muitas vezes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complementam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uma ou várias funcionalidades obrigatórias. Pode ser utilizada recorrentemente pelo usuário e nem sempre estará logo na primeira versão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1905" cy="361905"/>
                  <wp:effectExtent b="0" l="0" r="0" t="0"/>
                  <wp:docPr id="16768759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Importância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c4b4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Obrigatória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caracteriza por uma funcionalidade que está alinhada com os objetivos norteadores da proposta de solução. É uma funcionalidade de uso recorrente e/ou constante e que está presente logo na primeira versão do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 o respectivo quadro de importância das funcionalidades para copiar o ícone da importância e colar no quadro de funcionalidades na próxima página. Inclusive, sua solução não precisa obrigatoriamente apresentar todos os tipos de importância.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Essa é apenas uma forma de mensurar o que será priorizado na fase de desenvolvimento e o que poderá ser feito em versões posteriores.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7920"/>
        <w:tblGridChange w:id="0">
          <w:tblGrid>
            <w:gridCol w:w="1418"/>
            <w:gridCol w:w="79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Visão Geral das funcionalidades da Solução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ffffff" w:space="0" w:sz="8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Importância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ffffff" w:space="0" w:sz="8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Descritivos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ffffff" w:space="0" w:sz="8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1905" cy="361905"/>
                  <wp:effectExtent b="0" l="0" r="0" t="0"/>
                  <wp:docPr id="16768759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de Prestador de Serviço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 centralizado de empresas parceiras que coleta dados cadastrais como CNPJ, Razão Social, endereço e telefone. O objetivo é integrar prestadores técnicos permitindo o vínculo direto com o perfil do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1905" cy="361905"/>
                  <wp:effectExtent b="0" l="0" r="0" t="0"/>
                  <wp:docPr id="16768759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Gerenciamento de Atendimentos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Interface destinada prestador de serviço para o gerenciamento geral dos atendimentos, com diversas abas dedicadas a cada etapa específica do processo::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-Aba “Solicitações”: onde ficarão disponíveis as solicitações de agendamentos realizadas/enviadas ao prestador pelo proprietário do veículo. A solicitação pode ser aceita ou recusada;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-Aba “Agendados/Aceitos”: Se a solicitação de agendamento de atendimento foi aceita, automaticamente passa fazer parte dessa aba, indicando uma evolução de etapas;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-Aba “Em andamento”: A solicitação agendada passa a fazer parte dessa aba automaticamente quando chegar no horário e data marcadas pelo agendamento. Alternativamente, o prestador poderá também realizar essa mudança de status de “agendado” para “em atendimento” clicando em um botão chamado “iniciar atendimento”, a qualquer momento;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-Aba “Atendidos/Encerrados”: Aba onde ficam os serviços que já foram realizados/encerrados. Os serviços passam a aparecer nessa aba assim que o prestador clicar no botão “encerrar”, funcionalidade essa o prestador de serviço pode utilizar a qualquer momento assim que o serviço estiver com o status “em andamento”. Ao clicar em “encerrar”, ele será direcionado para uma nova tela/janela onde deverá preencher um relatório descrevendo o serviço realizado, através do qual será consolidado o histórico de manutenções para o veículo vinculado ao serviço.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Impulsionamento de prestador de serviço através de planos pagos/anúncios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de posicionamento estratégico que permite às oficinas contratarem destaque no topo das buscas por períodos de 30 ou 90 dias. O algoritmo prioriza esses parceiros, identificando-os com um selo de "Prestador Verificado", o que aumenta a conversão de agendamentos para a oficina.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Disponibilização de estatísticas/análises sobre os atendimentos: tempo despendido, horas técnicas, gastos, lucro etc.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Painel visual que transforma os dados das manutenções finalizadas em indicadores de desempenho. O sistema calcula automaticamente o tempo de execução, a eficiência da equipe, os custos de peças e a margem de lucro real de cada serviço. Essas informações são apresentadas em gráficos intuitivos que ajudam o dono da oficina a identificar gargalos, reduzir desperdícios e aumentar a rentabilidade do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1905" cy="361905"/>
                  <wp:effectExtent b="0" l="0" r="0" t="0"/>
                  <wp:docPr id="16768759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de Proprietário de Veículo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Interface destinada à autenticação e controle de acesso do proprietário do veículo. O sistema armazena as credenciais básicas (nome, e-mail, telefone) e disponibiliza ferramentas de gerenciamento de conta, permitindo o encerramento da sessão ativa ou a remoção total do cadastro do usuário da base de dados.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1905" cy="361905"/>
                  <wp:effectExtent b="0" l="0" r="0" t="0"/>
                  <wp:docPr id="16768759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de Veículo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Interface para captação/registro dos dados do veículo, onde o proprietário pode selecionar marca e modelo do automóvel, além da inserção de dados específicos como placa, ano e cor (identificação única).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1905" cy="361905"/>
                  <wp:effectExtent b="0" l="0" r="0" t="0"/>
                  <wp:docPr id="16768759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361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Agendamento de Serviços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Funcionalidade de entrada de ordens de serviço (preventivas/corretivas), geradas/solicitadas pelo proprietário do veículo. Ele define a oficina já cadastrada em sistema e data desejada, o tipo de manutenção e descreve a necessidade técnica, gerando um protocolo exclusivo para controle.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2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Disponibilização de Histórico de Manutenção Veicular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Tela em que ficará disponível um histórico de serviços realizados, cujas informações serão cadastradas pelo prestador do serviço. Haverá a possibilidade de apresentar dados como peças trocadas, valor total do serviço e tempo dispendido. Os registros serão ordenados por data. Haverá a possibilidade de gerar um arquivo em formato de documento (pdf ou docx, por exemplo) com os registros.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de Intercorrências do Veículo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Ferramenta de log para registro de intercorrências/eventos observados pelo proprietário no veículo (falha, quebra, inconsistência). O proprietário terá acesso a uma tela, onde poderá, através de descrição textual, realizar o cadastro de uma nova intercorrência, assim como também consultar as demais já cadastradas, excluí-las e editá-las.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Notificações/Lembretes Sobre Agendamentos Futuros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Alertas automáticos (“lembrete”) para manutenções futuras e serviços já negociados (entre prestador e proprietário) ou recorrentes, como trocas de óleo. Visa permitir a configuração de avisos antecipados (15, 7 ou 3 dias por exemplo) para garantir a pontualidade das revisões negociadas.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Compartilhamento de Histórico de Manutenção Veicular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Funcionalidade seletiva que permite ao usuário tornar o histórico de manutenção público ou privado. Seu objetivo é gerar transparência, auxiliando em negociações de venda, onde usuários interessados possam validar a procedência dos serviços realizados, analisando o histórico de manutenções do veículo.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 de Prestadores Próximos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Interface de busca integrada a mapas que lista oficinas e centros automotivos cadastrados com base na proximidade do usuário. Permite filtrar prestadores por especialidade ou avaliação, facilitando o vínculo imediato para serviços de emergência.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Estimativa de Gastos e Orçamento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Tela que consolida os valores registrados no histórico de manutenção. O sistema processa automaticamente os custos de peças e mão de obra para gerar gráficos de despesas por período ou categoria (preventiva/corretiva), para facilitar o controle do orçamento do proprietário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.869140625" w:hRule="atLeast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0000" cy="360000"/>
                  <wp:effectExtent b="0" l="0" r="0" t="0"/>
                  <wp:docPr id="16768759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Carteira Digital de Documentos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Espaço seguro para armazenamento e consulta rápida de documentos essenciais do veículo e do condutor (CRLV, CNH e apólice de seguro). A funcionalidade permite o acesso rápido aos documentos em modo offline e emite alertas automáticos sobre prazos de vencimento de licenças e validades de condução.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5939790" cy="608965"/>
          <wp:effectExtent b="0" l="0" r="0" t="0"/>
          <wp:docPr id="167687592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790" cy="608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Char" w:customStyle="1">
    <w:name w:val="Título Char"/>
    <w:basedOn w:val="Fontepargpadro"/>
    <w:uiPriority w:val="10"/>
    <w:rsid w:val="00FF64D0"/>
    <w:rPr>
      <w:rFonts w:cstheme="majorBidi" w:eastAsiaTheme="majorEastAsia"/>
      <w:b w:val="1"/>
      <w:spacing w:val="-10"/>
      <w:kern w:val="28"/>
      <w:sz w:val="28"/>
      <w:szCs w:val="56"/>
    </w:rPr>
  </w:style>
  <w:style w:type="paragraph" w:styleId="SemEspaamento">
    <w:name w:val="No Spacing"/>
    <w:uiPriority w:val="1"/>
    <w:qFormat w:val="1"/>
    <w:rsid w:val="00D73FE3"/>
    <w:pPr>
      <w:ind w:firstLine="709"/>
    </w:pPr>
  </w:style>
  <w:style w:type="paragraph" w:styleId="LinhaSimples" w:customStyle="1">
    <w:name w:val="Linha Simples"/>
    <w:link w:val="LinhaSimplesChar"/>
    <w:qFormat w:val="1"/>
    <w:rsid w:val="00FF64D0"/>
    <w:pPr>
      <w:spacing w:line="240" w:lineRule="auto"/>
    </w:pPr>
  </w:style>
  <w:style w:type="character" w:styleId="LinhaSimplesChar" w:customStyle="1">
    <w:name w:val="Linha Simples Char"/>
    <w:basedOn w:val="Fontepargpadro"/>
    <w:link w:val="LinhaSimples"/>
    <w:rsid w:val="00FF64D0"/>
  </w:style>
  <w:style w:type="character" w:styleId="Ttulo1Char" w:customStyle="1">
    <w:name w:val="Título 1 Char"/>
    <w:basedOn w:val="Fontepargpadro"/>
    <w:uiPriority w:val="9"/>
    <w:rsid w:val="00D73FE3"/>
    <w:rPr>
      <w:rFonts w:cstheme="majorBidi" w:eastAsiaTheme="majorEastAsia"/>
      <w:b w:val="1"/>
      <w:szCs w:val="32"/>
    </w:rPr>
  </w:style>
  <w:style w:type="character" w:styleId="Ttulo2Char" w:customStyle="1">
    <w:name w:val="Título 2 Char"/>
    <w:basedOn w:val="Fontepargpadro"/>
    <w:uiPriority w:val="9"/>
    <w:semiHidden w:val="1"/>
    <w:rsid w:val="00D73FE3"/>
    <w:rPr>
      <w:rFonts w:cstheme="majorBidi" w:eastAsiaTheme="majorEastAsia"/>
      <w:szCs w:val="26"/>
    </w:rPr>
  </w:style>
  <w:style w:type="paragraph" w:styleId="Cabealho">
    <w:name w:val="header"/>
    <w:basedOn w:val="Normal"/>
    <w:link w:val="Cabealho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73FE3"/>
  </w:style>
  <w:style w:type="paragraph" w:styleId="Rodap">
    <w:name w:val="footer"/>
    <w:basedOn w:val="Normal"/>
    <w:link w:val="Rodap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73FE3"/>
  </w:style>
  <w:style w:type="table" w:styleId="Tabelacomgrade">
    <w:name w:val="Table Grid"/>
    <w:basedOn w:val="Tabelanormal"/>
    <w:uiPriority w:val="39"/>
    <w:rsid w:val="00011B8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13.0" w:type="dxa"/>
        <w:bottom w:w="85.0" w:type="dxa"/>
        <w:right w:w="113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73EE+qgrK3GEjQ7QBnHzHeV5PA==">CgMxLjA4AHIhMXpOSV9UTzhxajR4bkExekpmX1k4aHZINXRpcWsweVRw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2026-03-10T18:25:00Z</dcterms:created>
  <dc:creator>Wendell Teske</dc:creator>
</cp:coreProperties>
</file>