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30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B6478"/>
          <w:sz w:val="26"/>
          <w:szCs w:val="26"/>
        </w:rPr>
        <w:t xml:space="preserve">PROPOSTA COMERCIAL</w:t>
      </w:r>
    </w:p>
    <w:p>
      <w:pPr>
        <w:spacing w:after="70"/>
        <w:jc w:val="center"/>
      </w:pPr>
      <w:r>
        <w:rPr>
          <w:rFonts w:ascii="Calibri" w:cs="Calibri" w:eastAsia="Calibri" w:hAnsi="Calibri"/>
          <w:b/>
          <w:bCs/>
          <w:color w:val="1F36C7"/>
          <w:sz w:val="40"/>
          <w:szCs w:val="40"/>
        </w:rPr>
        <w:t xml:space="preserve">Passaporte de Segurança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E1424"/>
          <w:sz w:val="26"/>
          <w:szCs w:val="26"/>
        </w:rPr>
        <w:t xml:space="preserve">Carteirinha Digital de Treinamentos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5B6478"/>
          <w:sz w:val="20"/>
          <w:szCs w:val="20"/>
        </w:rPr>
        <w:t xml:space="preserve">Desenvolvimento e Implementação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E1424"/>
          <w:sz w:val="22"/>
          <w:szCs w:val="22"/>
        </w:rPr>
        <w:t xml:space="preserve">Cliente: Unilever</w:t>
      </w:r>
    </w:p>
    <w:p>
      <w:pPr>
        <w:jc w:val="center"/>
      </w:pPr>
      <w:r>
        <w:rPr>
          <w:rFonts w:ascii="Calibri" w:cs="Calibri" w:eastAsia="Calibri" w:hAnsi="Calibri"/>
          <w:color w:val="5B6478"/>
          <w:sz w:val="18"/>
          <w:szCs w:val="18"/>
        </w:rPr>
        <w:t xml:space="preserve">Fornecedor: DriveData Ltda. · CNPJ 55.175.790/0001-38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5B6478"/>
          <w:sz w:val="18"/>
          <w:szCs w:val="18"/>
        </w:rPr>
        <w:t xml:space="preserve">Proposta PROP-2026-0005 · Barueri/SP · 28 de agosto de 2026 · validade 30 dias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Dados da proposta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1900"/>
        <w:gridCol w:w="6320"/>
      </w:tblGrid>
      <w:tr>
        <w:trPr>
          <w:tblHeader/>
        </w:trPr>
        <w:tc>
          <w:tcPr>
            <w:tcW w:type="dxa" w:w="19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63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Informação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Número</w:t>
            </w:r>
          </w:p>
        </w:tc>
        <w:tc>
          <w:tcPr>
            <w:tcW w:type="dxa" w:w="63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PROP-2026-0005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Objeto</w:t>
            </w:r>
          </w:p>
        </w:tc>
        <w:tc>
          <w:tcPr>
            <w:tcW w:type="dxa" w:w="63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Desenvolvimento e implementação do Passaporte de Segurança (carteirinha digital de treinamentos)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Cliente</w:t>
            </w:r>
          </w:p>
        </w:tc>
        <w:tc>
          <w:tcPr>
            <w:tcW w:type="dxa" w:w="63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Unilever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Fornecedor</w:t>
            </w:r>
          </w:p>
        </w:tc>
        <w:tc>
          <w:tcPr>
            <w:tcW w:type="dxa" w:w="63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DriveData Ltda. · CNPJ 55.175.790/0001-38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Signatária</w:t>
            </w:r>
          </w:p>
        </w:tc>
        <w:tc>
          <w:tcPr>
            <w:tcW w:type="dxa" w:w="63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Tamires Bastilha Cavani · Proprietária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Emissão</w:t>
            </w:r>
          </w:p>
        </w:tc>
        <w:tc>
          <w:tcPr>
            <w:tcW w:type="dxa" w:w="63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Barueri/SP · 28/08/2026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Validade</w:t>
            </w:r>
          </w:p>
        </w:tc>
        <w:tc>
          <w:tcPr>
            <w:tcW w:type="dxa" w:w="63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30 dias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Base</w:t>
            </w:r>
          </w:p>
        </w:tc>
        <w:tc>
          <w:tcPr>
            <w:tcW w:type="dxa" w:w="63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Escopo funcional v1.4 e protótipo de alta fidelidade já entregues</w:t>
            </w:r>
          </w:p>
        </w:tc>
      </w:tr>
    </w:tbl>
    <w:p>
      <w:pPr>
        <w:spacing w:after="14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1. Carta de abertura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Prezada equipe Unilever,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Agradecemos a oportunidade de apresentar esta proposta para o Passaporte de Segurança, a carteirinha digital de treinamentos.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partir do escopo funcional validado (v1.4) e do protótipo navegável de alta fidelidade já entregue com dados reais de amostra, esta proposta cobre a construção do sistema em produção. Contempla a consulta pelo colaborador, a gestão pela equipe de SHE e Saúde, a autenticação do documento e a integração com as fontes de dados atuais.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Colocamo-nos à disposição para os alinhamentos necessários.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Atenciosamente,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Tamires Bastilha Cavani · DriveData Ltda.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2. Apresentação e visão geral</w:t>
      </w:r>
    </w:p>
    <w:p>
      <w:pPr>
        <w:spacing w:after="12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Hoje a Unilever controla os treinamentos de segurança por carteirinhas de papel. O modelo gera perda de documentos, atraso na renovação após a reciclagem e um fluxo lento de emissão e validação. Na amostra levantada existem </w:t>
      </w: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508 colaboradores e 1.460 habilitações, sendo 78% dentro da validade e 325 vencidas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O Passaporte de Segurança transforma a carteirinha em versão digital, acessível por site responsivo, sem instalar aplicativo e sem exigir conta corporativa para o colaborador. A pessoa informa o RE ou lê um QR Code e vê na hora quais treinamentos estão válidos.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solução reproduz de forma fiel os dois modelos em uso, Executor e Liberador, e entrega à equipe de SHE um painel de conformidade com destaque para vencimentos. O ASO fica restrito à Administração e à Saúde Ocupacional. Os dados são consumidos das fontes existentes, sem digitação manual na carteirinha.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3"/>
          <w:szCs w:val="23"/>
        </w:rPr>
        <w:t xml:space="preserve">Resultados esperados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Fim da carteirinha de papel e das perdas associadas.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Verificação em campo em segundos, por RE ou QR Code.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Validade sempre atualizada, com alerta de vencimento antecipado.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Visão de conformidade da fábrica para a equipe de SHE.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Redução do trabalho manual, com dados vindos direto das fontes.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3. Escopo do fornecimento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O sistema contempla os seguintes módulos: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2500"/>
        <w:gridCol w:w="5720"/>
      </w:tblGrid>
      <w:tr>
        <w:trPr>
          <w:tblHeader/>
        </w:trPr>
        <w:tc>
          <w:tcPr>
            <w:tcW w:type="dxa" w:w="25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57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entrega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Consulta da carteirinha</w:t>
            </w:r>
          </w:p>
        </w:tc>
        <w:tc>
          <w:tcPr>
            <w:tcW w:type="dxa" w:w="57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Acesso por RE ou QR Code, sem login, em site responsivo. Alterna entre Executor e Liberador.</w:t>
            </w:r>
          </w:p>
        </w:tc>
      </w:tr>
      <w:tr>
        <w:tc>
          <w:tcPr>
            <w:tcW w:type="dxa" w:w="25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Carteirinha Executor</w:t>
            </w:r>
          </w:p>
        </w:tc>
        <w:tc>
          <w:tcPr>
            <w:tcW w:type="dxa" w:w="57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Dados de identificação, renovação de integração, habilitações ativas com status, relação de não habilitados e visto de SHE.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Carteirinha Liberador</w:t>
            </w:r>
          </w:p>
        </w:tc>
        <w:tc>
          <w:tcPr>
            <w:tcW w:type="dxa" w:w="57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Autorização para trabalhos especializados, com data de validade e visto de SHE por atividade.</w:t>
            </w:r>
          </w:p>
        </w:tc>
      </w:tr>
      <w:tr>
        <w:tc>
          <w:tcPr>
            <w:tcW w:type="dxa" w:w="25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Painel de conformidade</w:t>
            </w:r>
          </w:p>
        </w:tc>
        <w:tc>
          <w:tcPr>
            <w:tcW w:type="dxa" w:w="57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Indicadores gerais, conformidade por área, distribuição por treinamento e vencimentos.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Gestão de colaboradores</w:t>
            </w:r>
          </w:p>
        </w:tc>
        <w:tc>
          <w:tcPr>
            <w:tcW w:type="dxa" w:w="57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Lista com busca e filtros, ficha com histórico e carteirinha, e inativação no desligamento.</w:t>
            </w:r>
          </w:p>
        </w:tc>
      </w:tr>
      <w:tr>
        <w:tc>
          <w:tcPr>
            <w:tcW w:type="dxa" w:w="25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Gestão de treinamentos</w:t>
            </w:r>
          </w:p>
        </w:tc>
        <w:tc>
          <w:tcPr>
            <w:tcW w:type="dxa" w:w="57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Catálogo com cadastro, edição, validade e ativação, além de indicadores por treinamento.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Vencimentos e alertas</w:t>
            </w:r>
          </w:p>
        </w:tc>
        <w:tc>
          <w:tcPr>
            <w:tcW w:type="dxa" w:w="57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Relação de vencidos e a vencer em 60 dias, com notificação e apoio ao plano de reciclagem.</w:t>
            </w:r>
          </w:p>
        </w:tc>
      </w:tr>
      <w:tr>
        <w:tc>
          <w:tcPr>
            <w:tcW w:type="dxa" w:w="25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Autenticação e verificação</w:t>
            </w:r>
          </w:p>
        </w:tc>
        <w:tc>
          <w:tcPr>
            <w:tcW w:type="dxa" w:w="57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Selo digital, código único e QR de verificação da carteirinha.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Auditoria</w:t>
            </w:r>
          </w:p>
        </w:tc>
        <w:tc>
          <w:tcPr>
            <w:tcW w:type="dxa" w:w="57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Registro imutável de quem fez o quê e quando.</w:t>
            </w:r>
          </w:p>
        </w:tc>
      </w:tr>
      <w:tr>
        <w:tc>
          <w:tcPr>
            <w:tcW w:type="dxa" w:w="25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Configurações e usuários</w:t>
            </w:r>
          </w:p>
        </w:tc>
        <w:tc>
          <w:tcPr>
            <w:tcW w:type="dxa" w:w="57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Gestão de usuários da equipe, perfis de acesso e regra de vencimento.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3"/>
          <w:szCs w:val="23"/>
        </w:rPr>
        <w:t xml:space="preserve">Fora de escopo (nesta fase)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Assinatura manuscrita digitalizada. O selo digital substitui a assinatura.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Aplicativo nativo para instalação em loja.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Integração automática com o SOC enquanto não houver liberação do time de Saúde.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Cadastro de trabalhos especializados além dos previstos, salvo alinhamento.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4. Arquitetura e tecnologia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Front-end responsivo para celular, tablet e computador.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Banco de dados relacional gerenciado, com segurança por perfil (RLS).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Autenticação da equipe dentro da própria plataforma, por e-mail e senha, com usuários criados e geridos por um administrador. Redefinição de senha por e-mail.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Consulta do colaborador sem login, por RE ou QR Code.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Publicação conforme a opção contratada (infraestrutura da DriveData ou da Unilever), com HTTPS e backups automáticos.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Autenticação do documento por selo digital, código único e QR de verificação.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Conformidade com a LGPD e registro de auditoria imutável das ações.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3"/>
          <w:szCs w:val="23"/>
        </w:rPr>
        <w:t xml:space="preserve">Controle de acesso ao ASO (dado sensível)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Inserir e editar o ASO: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apenas o perfil Saúde Ocupacional.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Visualizar o ASO: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apenas Administração e Saúde Ocupacional. SHE e colaborador não visualizam.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5. Integração e fontes de dados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Unilever consolida as fontes em um único ponto: o SharePoint. Segundo o alinhamento com a equipe técnica (Tex), a base de treinamentos, os dados da UniU e o ASO são reunidos no SharePoint. O sistema lê exclusivamente desse ponto.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2100"/>
        <w:gridCol w:w="4020"/>
        <w:gridCol w:w="2100"/>
      </w:tblGrid>
      <w:tr>
        <w:trPr>
          <w:tblHeader/>
        </w:trPr>
        <w:tc>
          <w:tcPr>
            <w:tcW w:type="dxa" w:w="21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40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  <w:tc>
          <w:tcPr>
            <w:tcW w:type="dxa" w:w="21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7"/>
                <w:szCs w:val="17"/>
              </w:rPr>
              <w:t xml:space="preserve">SharePoint</w:t>
            </w:r>
          </w:p>
        </w:tc>
        <w:tc>
          <w:tcPr>
            <w:tcW w:type="dxa" w:w="40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Ponto único de integração. Reúne treinamentos, UniU e ASO consolidados pela Unilever.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Acesso de leitura a alinhar.</w:t>
            </w:r>
          </w:p>
        </w:tc>
      </w:tr>
      <w:tr>
        <w:tc>
          <w:tcPr>
            <w:tcW w:type="dxa" w:w="2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7"/>
                <w:szCs w:val="17"/>
              </w:rPr>
              <w:t xml:space="preserve">UniU / SOC</w:t>
            </w:r>
          </w:p>
        </w:tc>
        <w:tc>
          <w:tcPr>
            <w:tcW w:type="dxa" w:w="40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Origens consolidadas pela Unilever no SharePoint. Não há integração direta neste escopo.</w:t>
            </w:r>
          </w:p>
        </w:tc>
        <w:tc>
          <w:tcPr>
            <w:tcW w:type="dxa" w:w="2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Consolidadas no SharePoint.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B6478"/>
          <w:sz w:val="21"/>
          <w:szCs w:val="21"/>
        </w:rPr>
        <w:t xml:space="preserve">Nenhum dado é digitado manualmente na carteirinha. Uma rotina de sincronização lê o SharePoint e atualiza o banco do sistema periodicamente.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6. Premissas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O escopo funcional aprovado (v1.4) é a base do desenvolvimento.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O design segue o protótipo de alta fidelidade já validado.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O colaborador consulta a própria carteirinha em modo somente leitura.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Os usuários da equipe são geridos na plataforma, sem integração com o login corporativo (SSO) da Unilever.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validação usa selo digital, sem assinatura manuscrita.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O ASO é restrito à Administração e à Saúde Ocupacional.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Desligamento de colaborador é feito por inativação, preservando o histórico.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Alerta de vencimento disparado com 60 dias de antecedência.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fonte de dados é o SharePoint, consolidado pela Unilever.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Reuniões de alinhamento com as áreas envolvidas disponíveis ao longo do projeto.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7. Pré-requisitos (fornecidos pela Unilever)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Acesso de leitura à base no SharePoint.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Lista inicial dos usuários da equipe e seus perfis de acesso.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Domínio ou subdomínio para publicação.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Confirmação da lista final de treinamentos de cada carteirinha.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Definição da origem dos dados de NR-20, PSM, Combustible dust, Içamento e Escavação, hoje ausentes da base principal.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Para a Opção A: ambiente (servidor e banco), acessos, pipeline de deploy e pontos focais de rede e segurança.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8. Metodologia e fases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2000"/>
        <w:gridCol w:w="4220"/>
        <w:gridCol w:w="2000"/>
      </w:tblGrid>
      <w:tr>
        <w:trPr>
          <w:tblHeader/>
        </w:trPr>
        <w:tc>
          <w:tcPr>
            <w:tcW w:type="dxa" w:w="20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42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Entregável</w:t>
            </w:r>
          </w:p>
        </w:tc>
        <w:tc>
          <w:tcPr>
            <w:tcW w:type="dxa" w:w="20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1. Setup e base</w:t>
            </w:r>
          </w:p>
        </w:tc>
        <w:tc>
          <w:tcPr>
            <w:tcW w:type="dxa" w:w="42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Ambiente, banco e importação da base do SharePoint.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Fundamentos prontos.</w:t>
            </w:r>
          </w:p>
        </w:tc>
      </w:tr>
      <w:tr>
        <w:tc>
          <w:tcPr>
            <w:tcW w:type="dxa" w:w="2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2. Consulta e carteirinhas</w:t>
            </w:r>
          </w:p>
        </w:tc>
        <w:tc>
          <w:tcPr>
            <w:tcW w:type="dxa" w:w="42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Consulta por RE/QR, carteirinhas Executor e Liberador.</w:t>
            </w:r>
          </w:p>
        </w:tc>
        <w:tc>
          <w:tcPr>
            <w:tcW w:type="dxa" w:w="2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Colaborador consultando.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3. Gestão e painel</w:t>
            </w:r>
          </w:p>
        </w:tc>
        <w:tc>
          <w:tcPr>
            <w:tcW w:type="dxa" w:w="42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Colaboradores, treinamentos, vencimentos e painel de conformidade.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Equipe operando.</w:t>
            </w:r>
          </w:p>
        </w:tc>
      </w:tr>
      <w:tr>
        <w:tc>
          <w:tcPr>
            <w:tcW w:type="dxa" w:w="2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4. Segurança e usuários</w:t>
            </w:r>
          </w:p>
        </w:tc>
        <w:tc>
          <w:tcPr>
            <w:tcW w:type="dxa" w:w="42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Login, perfis, ASO restrito, auditoria e autenticação do documento.</w:t>
            </w:r>
          </w:p>
        </w:tc>
        <w:tc>
          <w:tcPr>
            <w:tcW w:type="dxa" w:w="2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Controle e conformidade.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5. Homologação e publicação</w:t>
            </w:r>
          </w:p>
        </w:tc>
        <w:tc>
          <w:tcPr>
            <w:tcW w:type="dxa" w:w="42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Testes, ajustes, publicação e documentação.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Sistema no ar.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B6478"/>
          <w:sz w:val="21"/>
          <w:szCs w:val="21"/>
        </w:rPr>
        <w:t xml:space="preserve">Ao longo das fases são feitas validações com a equipe da Unilever, garantindo aderência ao escopo.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9. Condições comerciais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São apresentados dois formatos: a compra do sistema hospedado na infraestrutura da Unilever e a assinatura mensal (SaaS), sem desembolso do desenvolvimento de uma vez.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3"/>
          <w:szCs w:val="23"/>
        </w:rPr>
        <w:t xml:space="preserve">Opção A — Compra na infraestrutura do cliente (Unilever)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Aplicação e banco hospedados no ambiente da Unilever. Inclui contingência para provisionamento de acessos, pipeline de deploy corporativo, revisão de segurança e homologação no ambiente do cliente. Sem mensalidade de infraestrutura da DriveData.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Investimento de desenvolvimento: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R$ 83.200,00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Prazo de execução: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12 a 14 semanas, conforme liberação de acessos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Tipo de contrato: prestação de serviços de desenvolvimento (por escopo/fases).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Modalidade: remoto. Garantia: 30 dias após a entrega.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Observação de risco: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ambiente on-premise, ausência de banco gerenciado, restrições de rede ou a forma de exposição da consulta ao colaborador podem exigir aditivo.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3"/>
          <w:szCs w:val="23"/>
        </w:rPr>
        <w:t xml:space="preserve">Opção B — Assinatura na infraestrutura DriveData (modelo SaaS)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Sem preço fechado de desenvolvimento. O cliente assina o acesso ao sistema, que roda inteiramente na infraestrutura da DriveData, com sustentação contínua.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Mensalidade: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R$ 2.500,00 / mês</w:t>
      </w:r>
    </w:p>
    <w:p>
      <w:pPr>
        <w:spacing w:after="4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Incluso na assinatura:</w:t>
      </w:r>
    </w:p>
    <w:p>
      <w:pPr>
        <w:pStyle w:val="ListParagraph"/>
        <w:numPr>
          <w:ilvl w:val="1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Acesso ao sistema em produção, hospedado na infraestrutura gerenciada da DriveData.</w:t>
      </w:r>
    </w:p>
    <w:p>
      <w:pPr>
        <w:pStyle w:val="ListParagraph"/>
        <w:numPr>
          <w:ilvl w:val="1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Infraestrutura, hospedagem, HTTPS e backups.</w:t>
      </w:r>
    </w:p>
    <w:p>
      <w:pPr>
        <w:pStyle w:val="ListParagraph"/>
        <w:numPr>
          <w:ilvl w:val="1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Sustentação de até 10 horas por mês para correção de erros e pequenos ajustes, não cumulativas entre meses. Novas funcionalidades são orçadas à parte.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Prazo de entrada no ar: </w:t>
      </w:r>
      <w:r>
        <w:rPr>
          <w:rFonts w:ascii="Calibri" w:cs="Calibri" w:eastAsia="Calibri" w:hAnsi="Calibri"/>
          <w:color w:val="23272F"/>
          <w:sz w:val="21"/>
          <w:szCs w:val="21"/>
        </w:rPr>
        <w:t xml:space="preserve">9 semanas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Fidelidade mínima: 12 meses, renovável. Reajuste anual na renovação, por índice a definir (ex.: IPCA).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O serviço permanece no ar enquanto a assinatura estiver ativa.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E1424"/>
          <w:sz w:val="23"/>
          <w:szCs w:val="23"/>
        </w:rPr>
        <w:t xml:space="preserve">Comparativo</w:t>
      </w: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2620"/>
        <w:gridCol w:w="2800"/>
        <w:gridCol w:w="2800"/>
      </w:tblGrid>
      <w:tr>
        <w:trPr>
          <w:tblHeader/>
        </w:trPr>
        <w:tc>
          <w:tcPr>
            <w:tcW w:type="dxa" w:w="262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8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Opção A</w:t>
            </w:r>
          </w:p>
        </w:tc>
        <w:tc>
          <w:tcPr>
            <w:tcW w:type="dxa" w:w="280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Opção B</w:t>
            </w:r>
          </w:p>
        </w:tc>
      </w:tr>
      <w:tr>
        <w:tc>
          <w:tcPr>
            <w:tcW w:type="dxa" w:w="26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Onde roda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Infra Unilever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Infra DriveData</w:t>
            </w:r>
          </w:p>
        </w:tc>
      </w:tr>
      <w:tr>
        <w:tc>
          <w:tcPr>
            <w:tcW w:type="dxa" w:w="26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Propriedade</w:t>
            </w:r>
          </w:p>
        </w:tc>
        <w:tc>
          <w:tcPr>
            <w:tcW w:type="dxa" w:w="28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Unilever</w:t>
            </w:r>
          </w:p>
        </w:tc>
        <w:tc>
          <w:tcPr>
            <w:tcW w:type="dxa" w:w="28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DriveData (assinatura)</w:t>
            </w:r>
          </w:p>
        </w:tc>
      </w:tr>
      <w:tr>
        <w:tc>
          <w:tcPr>
            <w:tcW w:type="dxa" w:w="26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Desenvolvimento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R$ 83.200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Sem preço fechado</w:t>
            </w:r>
          </w:p>
        </w:tc>
      </w:tr>
      <w:tr>
        <w:tc>
          <w:tcPr>
            <w:tcW w:type="dxa" w:w="26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Mensalidade</w:t>
            </w:r>
          </w:p>
        </w:tc>
        <w:tc>
          <w:tcPr>
            <w:tcW w:type="dxa" w:w="28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R$ 2.500</w:t>
            </w:r>
          </w:p>
        </w:tc>
      </w:tr>
      <w:tr>
        <w:tc>
          <w:tcPr>
            <w:tcW w:type="dxa" w:w="26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Prazo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12 a 14 semanas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9 semanas</w:t>
            </w:r>
          </w:p>
        </w:tc>
      </w:tr>
      <w:tr>
        <w:tc>
          <w:tcPr>
            <w:tcW w:type="dxa" w:w="26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Garantia</w:t>
            </w:r>
          </w:p>
        </w:tc>
        <w:tc>
          <w:tcPr>
            <w:tcW w:type="dxa" w:w="28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30 dias</w:t>
            </w:r>
          </w:p>
        </w:tc>
        <w:tc>
          <w:tcPr>
            <w:tcW w:type="dxa" w:w="28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Sustentação contínua</w:t>
            </w:r>
          </w:p>
        </w:tc>
      </w:tr>
      <w:tr>
        <w:tc>
          <w:tcPr>
            <w:tcW w:type="dxa" w:w="262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Despesa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CAPEX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OPEX</w:t>
            </w:r>
          </w:p>
        </w:tc>
      </w:tr>
      <w:tr>
        <w:tc>
          <w:tcPr>
            <w:tcW w:type="dxa" w:w="262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3272F"/>
                <w:sz w:val="17"/>
                <w:szCs w:val="17"/>
              </w:rPr>
              <w:t xml:space="preserve">Indicado para</w:t>
            </w:r>
          </w:p>
        </w:tc>
        <w:tc>
          <w:tcPr>
            <w:tcW w:type="dxa" w:w="28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Tudo no ambiente Unilever</w:t>
            </w:r>
          </w:p>
        </w:tc>
        <w:tc>
          <w:tcPr>
            <w:tcW w:type="dxa" w:w="28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Assinar sem investimento inicial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B6478"/>
          <w:sz w:val="18"/>
          <w:szCs w:val="18"/>
        </w:rPr>
        <w:t xml:space="preserve">Forma de pagamento do desenvolvimento (Opção A): a combinar por marcos (ex.: 40% na assinatura, 30% na homologação, 30% na entrega).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10. Garantia e suporte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Opção A: 30 dias de garantia após a entrega, para correção de defeitos.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Opção B: sustentação contínua enquanto a assinatura estiver ativa.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Alterações de escopo são tratadas por aditivo, com impacto em prazo e valor.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11. Confidencialidade (LGPD)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DriveData Ltda. compromete-se a manter sigilo sobre todas as informações, dados, documentos e acessos disponibilizados pela Unilever para a execução deste projeto, utilizando-os exclusivamente para esta finalidade. O compromisso abrange dados pessoais e de saúde dos colaboradores, tratados conforme a Lei Geral de Proteção de Dados (Lei 13.709/2018), e permanece válido durante a vigência do contrato e por 5 (cinco) anos após o seu término.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6C7"/>
          <w:sz w:val="28"/>
          <w:szCs w:val="28"/>
        </w:rPr>
        <w:t xml:space="preserve">12. Validade e aceite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A assinatura deste documento representa o aceite formal do escopo, das condições comerciais e das premissas aqui descritas, autorizando o início dos trabalhos. Alterações de escopo serão tratadas por aditivo, com impacto em prazo e valor acordado entre as partes. Esta proposta tem validade de 30 (trinta) dias a partir da data de emissão.</w:t>
      </w:r>
    </w:p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3272F"/>
          <w:sz w:val="21"/>
          <w:szCs w:val="21"/>
        </w:rPr>
        <w:t xml:space="preserve">Opção contratada:  (   ) A     (   ) B</w:t>
      </w:r>
    </w:p>
    <w:p>
      <w:pPr>
        <w:spacing w:after="220"/>
      </w:pPr>
    </w:p>
    <w:p>
      <w:pPr>
        <w:spacing w:after="120" w:before="0" w:line="276"/>
      </w:pPr>
      <w:r>
        <w:rPr>
          <w:rFonts w:ascii="Calibri" w:cs="Calibri" w:eastAsia="Calibri" w:hAnsi="Calibri"/>
          <w:color w:val="23272F"/>
          <w:sz w:val="21"/>
          <w:szCs w:val="21"/>
        </w:rPr>
        <w:t xml:space="preserve">Barueri/SP, ______ de ______________ de 2026.</w:t>
      </w:r>
    </w:p>
    <w:p>
      <w:pPr>
        <w:spacing w:after="260"/>
      </w:pPr>
    </w:p>
    <w:tbl>
      <w:tblPr>
        <w:tblW w:type="dxa" w:w="8220"/>
        <w:tblBorders>
          <w:top w:val="single" w:color="E6E9F2" w:sz="2"/>
          <w:left w:val="single" w:color="E6E9F2" w:sz="2"/>
          <w:bottom w:val="single" w:color="E6E9F2" w:sz="2"/>
          <w:right w:val="single" w:color="E6E9F2" w:sz="2"/>
          <w:insideH w:val="single" w:color="E6E9F2" w:sz="2"/>
          <w:insideV w:val="single" w:color="E6E9F2" w:sz="2"/>
        </w:tblBorders>
      </w:tblPr>
      <w:tblGrid>
        <w:gridCol w:w="4110"/>
        <w:gridCol w:w="4110"/>
      </w:tblGrid>
      <w:tr>
        <w:trPr>
          <w:tblHeader/>
        </w:trPr>
        <w:tc>
          <w:tcPr>
            <w:tcW w:type="dxa" w:w="411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Fornecedor</w:t>
            </w:r>
          </w:p>
        </w:tc>
        <w:tc>
          <w:tcPr>
            <w:tcW w:type="dxa" w:w="4110"/>
            <w:shd w:fill="1F36C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</w:tc>
      </w:tr>
      <w:tr>
        <w:tc>
          <w:tcPr>
            <w:tcW w:type="dxa" w:w="411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3272F"/>
                <w:sz w:val="17"/>
                <w:szCs w:val="17"/>
              </w:rPr>
              <w:t xml:space="preserve">
_______________________________
Tamires Bastilha Cavani
DriveData Ltda. · Proprietária</w:t>
            </w:r>
          </w:p>
        </w:tc>
        <w:tc>
          <w:tcPr>
            <w:tcW w:type="dxa" w:w="411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3272F"/>
                <w:sz w:val="17"/>
                <w:szCs w:val="17"/>
              </w:rPr>
              <w:t xml:space="preserve">
_______________________________
Nome / Cargo
Unilever</w:t>
            </w:r>
          </w:p>
        </w:tc>
      </w:tr>
    </w:tbl>
    <w:p>
      <w:pPr>
        <w:spacing w:after="160"/>
      </w:pPr>
    </w:p>
    <w:p>
      <w:pPr>
        <w:pBdr>
          <w:bottom w:val="single" w:color="1F36C7" w:sz="6"/>
        </w:pBdr>
        <w:spacing w:after="12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i/>
          <w:iCs/>
          <w:color w:val="5B6478"/>
          <w:sz w:val="17"/>
          <w:szCs w:val="17"/>
        </w:rPr>
        <w:t xml:space="preserve">DriveData Ltda. · CNPJ 55.175.790/0001-38 · Proposta PROP-2026-0005 · Confidencial.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A3B6"/>
        <w:sz w:val="16"/>
        <w:szCs w:val="16"/>
      </w:rPr>
      <w:t xml:space="preserve">DriveData Ltda. · PROP-2026-0005 · Confidencial · Página </w:t>
    </w:r>
    <w:r>
      <w:rPr>
        <w:rFonts w:ascii="Calibri" w:cs="Calibri" w:eastAsia="Calibri" w:hAnsi="Calibri"/>
        <w:color w:val="9AA3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AA3B6"/>
        <w:sz w:val="16"/>
        <w:szCs w:val="16"/>
      </w:rPr>
      <w:t xml:space="preserve">Proposta · Passaporte de Segurança · Unilever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bdd92405d48759b13ecf03a06e4e929918453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— Passaporte de Segurança — Unilever</dc:title>
  <dc:creator>DriveData</dc:creator>
  <cp:lastModifiedBy>Un-named</cp:lastModifiedBy>
  <cp:revision>1</cp:revision>
  <dcterms:created xsi:type="dcterms:W3CDTF">2026-09-03T18:58:10.102Z</dcterms:created>
  <dcterms:modified xsi:type="dcterms:W3CDTF">2026-09-03T18:58:10.102Z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