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30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5B6478"/>
          <w:sz w:val="26"/>
          <w:szCs w:val="26"/>
        </w:rPr>
        <w:t xml:space="preserve">PROPOSTA COMERCIAL</w:t>
      </w:r>
    </w:p>
    <w:p>
      <w:pPr>
        <w:spacing w:after="70"/>
        <w:jc w:val="center"/>
      </w:pPr>
      <w:r>
        <w:rPr>
          <w:rFonts w:ascii="Calibri" w:cs="Calibri" w:eastAsia="Calibri" w:hAnsi="Calibri"/>
          <w:b/>
          <w:bCs/>
          <w:color w:val="1F36C7"/>
          <w:sz w:val="40"/>
          <w:szCs w:val="40"/>
        </w:rPr>
        <w:t xml:space="preserve">Passaporte de Segurança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0E1424"/>
          <w:sz w:val="26"/>
          <w:szCs w:val="26"/>
        </w:rPr>
        <w:t xml:space="preserve">Carteirinha Digital de Treinamentos</w:t>
      </w:r>
    </w:p>
    <w:p>
      <w:pPr>
        <w:spacing w:after="360"/>
        <w:jc w:val="center"/>
      </w:pPr>
      <w:r>
        <w:rPr>
          <w:rFonts w:ascii="Calibri" w:cs="Calibri" w:eastAsia="Calibri" w:hAnsi="Calibri"/>
          <w:i/>
          <w:iCs/>
          <w:color w:val="5B6478"/>
          <w:sz w:val="20"/>
          <w:szCs w:val="20"/>
        </w:rPr>
        <w:t xml:space="preserve">Desenvolvimento e Implementação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E1424"/>
          <w:sz w:val="22"/>
          <w:szCs w:val="22"/>
        </w:rPr>
        <w:t xml:space="preserve">Cliente: Unilever</w:t>
      </w:r>
    </w:p>
    <w:p>
      <w:pPr>
        <w:jc w:val="center"/>
      </w:pPr>
      <w:r>
        <w:rPr>
          <w:rFonts w:ascii="Calibri" w:cs="Calibri" w:eastAsia="Calibri" w:hAnsi="Calibri"/>
          <w:color w:val="5B6478"/>
          <w:sz w:val="18"/>
          <w:szCs w:val="18"/>
        </w:rPr>
        <w:t xml:space="preserve">Fornecedor: DriveData Ltda. · CNPJ 55.175.790/0001-38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5B6478"/>
          <w:sz w:val="18"/>
          <w:szCs w:val="18"/>
        </w:rPr>
        <w:t xml:space="preserve">Proposta PROP-2026-0005 · Barueri/SP · 28 de agosto de 2026 · validade 30 dias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Dados da proposta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1900"/>
        <w:gridCol w:w="6320"/>
      </w:tblGrid>
      <w:tr>
        <w:trPr>
          <w:tblHeader/>
        </w:trPr>
        <w:tc>
          <w:tcPr>
            <w:tcW w:type="dxa" w:w="19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63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Informação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Número</w:t>
            </w:r>
          </w:p>
        </w:tc>
        <w:tc>
          <w:tcPr>
            <w:tcW w:type="dxa" w:w="63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PROP-2026-0005</w:t>
            </w:r>
          </w:p>
        </w:tc>
      </w:tr>
      <w:tr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Objeto</w:t>
            </w:r>
          </w:p>
        </w:tc>
        <w:tc>
          <w:tcPr>
            <w:tcW w:type="dxa" w:w="63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Desenvolvimento e implementação do Passaporte de Segurança (carteirinha digital de treinamentos)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Cliente</w:t>
            </w:r>
          </w:p>
        </w:tc>
        <w:tc>
          <w:tcPr>
            <w:tcW w:type="dxa" w:w="63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Unilever</w:t>
            </w:r>
          </w:p>
        </w:tc>
      </w:tr>
      <w:tr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Fornecedor</w:t>
            </w:r>
          </w:p>
        </w:tc>
        <w:tc>
          <w:tcPr>
            <w:tcW w:type="dxa" w:w="63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 Ltda. · CNPJ 55.175.790/0001-38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Signatária</w:t>
            </w:r>
          </w:p>
        </w:tc>
        <w:tc>
          <w:tcPr>
            <w:tcW w:type="dxa" w:w="63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Tamires Bastilha Cavani · Proprietária</w:t>
            </w:r>
          </w:p>
        </w:tc>
      </w:tr>
      <w:tr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Emissão</w:t>
            </w:r>
          </w:p>
        </w:tc>
        <w:tc>
          <w:tcPr>
            <w:tcW w:type="dxa" w:w="63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Barueri/SP · 28/08/2026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Validade</w:t>
            </w:r>
          </w:p>
        </w:tc>
        <w:tc>
          <w:tcPr>
            <w:tcW w:type="dxa" w:w="63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30 dias</w:t>
            </w:r>
          </w:p>
        </w:tc>
      </w:tr>
      <w:tr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Base</w:t>
            </w:r>
          </w:p>
        </w:tc>
        <w:tc>
          <w:tcPr>
            <w:tcW w:type="dxa" w:w="63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Escopo funcional v1.4 e protótipo de alta fidelidade já entregues</w:t>
            </w:r>
          </w:p>
        </w:tc>
      </w:tr>
    </w:tbl>
    <w:p>
      <w:pPr>
        <w:spacing w:after="14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1. Carta de abertura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Prezada equipe Unilever,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Agradecemos a oportunidade de apresentar esta proposta para o Passaporte de Segurança, a carteirinha digital de treinamentos.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partir do escopo funcional validado (v1.4) e do protótipo navegável de alta fidelidade já entregue com dados reais de amostra, esta proposta cobre a construção do sistema em produção. Contempla a consulta pelo colaborador, a gestão pela equipe de SHE e Saúde, a autenticação do documento e a integração com as fontes de dados atuais.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Colocamo-nos à disposição para os alinhamentos necessários.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Atenciosamente,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Tamires Bastilha Cavani · DriveData Ltda.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2. Apresentação e visão geral</w:t>
      </w:r>
    </w:p>
    <w:p>
      <w:pPr>
        <w:spacing w:after="12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Hoje a Unilever controla os treinamentos de segurança por carteirinhas de papel. O modelo gera perda de documentos, atraso na renovação após a reciclagem e um fluxo lento de emissão e validação. Na amostra levantada existem </w:t>
      </w: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508 colaboradores e 1.460 habilitações, sendo 78% dentro da validade e 325 vencidas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Passaporte de Segurança transforma a carteirinha em versão digital, acessível por site responsivo, sem instalar aplicativo e sem exigir conta corporativa para o colaborador. A pessoa informa o RE ou lê um QR Code e vê na hora quais treinamentos estão válidos.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solução reproduz de forma fiel os dois modelos em uso, Executor e Liberador, e entrega à equipe de SHE um painel de conformidade com destaque para vencimentos. O ASO fica restrito à Administração e à Saúde Ocupacional. Os dados são consumidos das fontes existentes, sem digitação manual na carteirinha.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Resultados esperados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Fim da carteirinha de papel e das perdas associadas.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Verificação em campo em segundos, por RE ou QR Code.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Validade sempre atualizada, com alerta de vencimento antecipado.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Visão de conformidade da fábrica para a equipe de SHE.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Redução do trabalho manual, com dados vindos direto das fontes.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3. Escopo do fornecimento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sistema contempla os seguintes módulos: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500"/>
        <w:gridCol w:w="5720"/>
      </w:tblGrid>
      <w:tr>
        <w:trPr>
          <w:tblHeader/>
        </w:trPr>
        <w:tc>
          <w:tcPr>
            <w:tcW w:type="dxa" w:w="25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Módulo</w:t>
            </w:r>
          </w:p>
        </w:tc>
        <w:tc>
          <w:tcPr>
            <w:tcW w:type="dxa" w:w="57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 que entrega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Consulta da carteirinha</w:t>
            </w:r>
          </w:p>
        </w:tc>
        <w:tc>
          <w:tcPr>
            <w:tcW w:type="dxa" w:w="57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Acesso por RE ou QR Code, sem login, em site responsivo. Alterna entre Executor e Liberador.</w:t>
            </w:r>
          </w:p>
        </w:tc>
      </w:tr>
      <w:tr>
        <w:tc>
          <w:tcPr>
            <w:tcW w:type="dxa" w:w="25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Carteirinha Executor</w:t>
            </w:r>
          </w:p>
        </w:tc>
        <w:tc>
          <w:tcPr>
            <w:tcW w:type="dxa" w:w="57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Dados de identificação, renovação de integração, habilitações ativas com status, relação de não habilitados e visto de SHE.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Carteirinha Liberador</w:t>
            </w:r>
          </w:p>
        </w:tc>
        <w:tc>
          <w:tcPr>
            <w:tcW w:type="dxa" w:w="57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Autorização para trabalhos especializados, com data de validade e visto de SHE por atividade.</w:t>
            </w:r>
          </w:p>
        </w:tc>
      </w:tr>
      <w:tr>
        <w:tc>
          <w:tcPr>
            <w:tcW w:type="dxa" w:w="25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Painel de conformidade</w:t>
            </w:r>
          </w:p>
        </w:tc>
        <w:tc>
          <w:tcPr>
            <w:tcW w:type="dxa" w:w="57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Indicadores gerais, conformidade por área, distribuição por treinamento e vencimentos.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Gestão de colaboradores</w:t>
            </w:r>
          </w:p>
        </w:tc>
        <w:tc>
          <w:tcPr>
            <w:tcW w:type="dxa" w:w="57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Lista com busca e filtros, ficha com histórico e carteirinha, e inativação no desligamento.</w:t>
            </w:r>
          </w:p>
        </w:tc>
      </w:tr>
      <w:tr>
        <w:tc>
          <w:tcPr>
            <w:tcW w:type="dxa" w:w="25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Gestão de treinamentos</w:t>
            </w:r>
          </w:p>
        </w:tc>
        <w:tc>
          <w:tcPr>
            <w:tcW w:type="dxa" w:w="57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Catálogo com cadastro, edição, validade e ativação, além de indicadores por treinamento.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Vencimentos e alertas</w:t>
            </w:r>
          </w:p>
        </w:tc>
        <w:tc>
          <w:tcPr>
            <w:tcW w:type="dxa" w:w="57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Relação de vencidos e a vencer em 60 dias, com notificação e apoio ao plano de reciclagem.</w:t>
            </w:r>
          </w:p>
        </w:tc>
      </w:tr>
      <w:tr>
        <w:tc>
          <w:tcPr>
            <w:tcW w:type="dxa" w:w="25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Autenticação e verificação</w:t>
            </w:r>
          </w:p>
        </w:tc>
        <w:tc>
          <w:tcPr>
            <w:tcW w:type="dxa" w:w="57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Selo digital, código único e QR de verificação da carteirinha.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Auditoria</w:t>
            </w:r>
          </w:p>
        </w:tc>
        <w:tc>
          <w:tcPr>
            <w:tcW w:type="dxa" w:w="57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Registro imutável de quem fez o quê e quando.</w:t>
            </w:r>
          </w:p>
        </w:tc>
      </w:tr>
      <w:tr>
        <w:tc>
          <w:tcPr>
            <w:tcW w:type="dxa" w:w="25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Configurações e usuários</w:t>
            </w:r>
          </w:p>
        </w:tc>
        <w:tc>
          <w:tcPr>
            <w:tcW w:type="dxa" w:w="57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Gestão de usuários da equipe, perfis de acesso e regra de vencimento.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Fora de escopo (nesta fase)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Assinatura manuscrita digitalizada. O selo digital substitui a assinatura.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Aplicativo nativo para instalação em loja.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Integração automática com o SOC enquanto não houver liberação do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 de trabalhos especializados além dos previstos, salvo alinhamento.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4. Arquitetura e tecnologia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Front-end responsivo para celular, tablet e computador.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Banco de dados relacional gerenciado, com segurança por perfil (RLS).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Autenticação da equipe dentro da própria plataforma, por e-mail e senha, com usuários criados e geridos por um administrador. Redefinição de senha por e-mail.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Consulta do colaborador sem login, por RE ou QR Code.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Publicação conforme a opção contratada (infraestrutura da DriveData ou da Unilever), com HTTPS e backups automáticos.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Autenticação do documento por selo digital, código único e QR de verificação.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Conformidade com a LGPD e registro de auditoria imutável das ações.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Controle de acesso ao ASO (dado sensível)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Inserir e editar 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apenas o perfil Saúde Ocupacional.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Visualizar 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apenas Administração e Saúde Ocupacional. SHE e colaborador não visualizam.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5. Integração e fontes de dados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Unilever consolida as fontes em um único ponto: o SharePoint. Segundo o alinhamento com a equipe técnica (Tex), a base de treinamentos, os dados da UniU e o ASO são reunidos no SharePoint. O sistema lê exclusivamente desse ponto.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020"/>
        <w:gridCol w:w="21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dxa" w:w="4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Papel</w:t>
            </w:r>
          </w:p>
        </w:tc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7"/>
                <w:szCs w:val="17"/>
              </w:rPr>
              <w:t xml:space="preserve">SharePoint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Ponto único de integração. Reúne treinamentos, UniU e ASO consolidados pela Unilever.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Acesso de leitura a alinhar.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7"/>
                <w:szCs w:val="17"/>
              </w:rPr>
              <w:t xml:space="preserve">UniU / SOC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Origens consolidadas pela Unilever no SharePoint. Não há integração direta neste escopo.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Consolidadas no SharePoint.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Nenhum dado é digitado manualmente na carteirinha. Uma rotina de sincronização lê o SharePoint e atualiza o banco do sistema periodicamente.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6. Premissas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escopo funcional aprovado (v1.4) é a base do desenvolvimento.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design segue o protótipo de alta fidelidade já validado.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colaborador consulta a própria carteirinha em modo somente leitura.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Os usuários da equipe são geridos na plataforma, sem integração com o login corporativo (SSO) da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validação usa selo digital, sem assinatura manuscrita.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ASO é restrito à Administração e à Saúde Ocupacional.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Desligamento de colaborador é feito por inativação, preservando o histórico.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Alerta de vencimento disparado com 60 dias de antecedência.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fonte de dados é o SharePoint, consolidado pela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Reuniões de alinhamento com as áreas envolvidas disponíveis ao longo do projeto.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7. Pré-requisitos (fornecidos pela Unilever)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de leitura à base no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inicial dos usuários da equipe e seus perfis de acesso.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Domínio ou subdomínio para publicação.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Confirmação da lista final de treinamentos de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da origem dos dados de NR-20, PSM, Combustible dust, Içamento e Escavação, hoje ausentes da base principal.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Para a Opção B: ambiente (servidor e banco), acessos, pipeline de deploy e pontos focais de rede e segurança.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8. Metodologia e fases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000"/>
        <w:gridCol w:w="4220"/>
        <w:gridCol w:w="2000"/>
      </w:tblGrid>
      <w:tr>
        <w:trPr>
          <w:tblHeader/>
        </w:trPr>
        <w:tc>
          <w:tcPr>
            <w:tcW w:type="dxa" w:w="20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42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Entregável</w:t>
            </w:r>
          </w:p>
        </w:tc>
        <w:tc>
          <w:tcPr>
            <w:tcW w:type="dxa" w:w="20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1. Setup e base</w:t>
            </w:r>
          </w:p>
        </w:tc>
        <w:tc>
          <w:tcPr>
            <w:tcW w:type="dxa" w:w="42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Ambiente, banco e importação da base do SharePoint.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Fundamentos prontos.</w:t>
            </w:r>
          </w:p>
        </w:tc>
      </w:tr>
      <w:tr>
        <w:tc>
          <w:tcPr>
            <w:tcW w:type="dxa" w:w="20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2. Consulta e carteirinhas</w:t>
            </w:r>
          </w:p>
        </w:tc>
        <w:tc>
          <w:tcPr>
            <w:tcW w:type="dxa" w:w="42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Consulta por RE/QR, carteirinhas Executor e Liberador.</w:t>
            </w:r>
          </w:p>
        </w:tc>
        <w:tc>
          <w:tcPr>
            <w:tcW w:type="dxa" w:w="20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Colaborador consultando.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3. Gestão e painel</w:t>
            </w:r>
          </w:p>
        </w:tc>
        <w:tc>
          <w:tcPr>
            <w:tcW w:type="dxa" w:w="42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Colaboradores, treinamentos, vencimentos e painel de conformidade.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Equipe operando.</w:t>
            </w:r>
          </w:p>
        </w:tc>
      </w:tr>
      <w:tr>
        <w:tc>
          <w:tcPr>
            <w:tcW w:type="dxa" w:w="20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4. Segurança e usuários</w:t>
            </w:r>
          </w:p>
        </w:tc>
        <w:tc>
          <w:tcPr>
            <w:tcW w:type="dxa" w:w="42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Login, perfis, ASO restrito, auditoria e autenticação do documento.</w:t>
            </w:r>
          </w:p>
        </w:tc>
        <w:tc>
          <w:tcPr>
            <w:tcW w:type="dxa" w:w="20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Controle e conformidade.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5. Homologação e publicação</w:t>
            </w:r>
          </w:p>
        </w:tc>
        <w:tc>
          <w:tcPr>
            <w:tcW w:type="dxa" w:w="42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Testes, ajustes, publicação e documentação.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Sistema no ar.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Ao longo das fases são feitas validações com a equipe da Unilever, garantindo aderência ao escopo.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9. Condições comerciais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São apresentados três formatos: duas compras (na infraestrutura da DriveData ou na do cliente) e uma assinatura mensal, sem desembolso do desenvolvimento de uma vez.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Opção A — Compra na infraestrutura gerenciada pela DriveData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Entrega ágil em ambiente próprio, com a menor complexidade de setup.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Investimento de desenvolvimento: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R$ 49.400,00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Infraestrutura e hospedagem gerenciada: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R$ 950,00 / mês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Prazo de execução: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9 semanas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Tipo de contrato: prestação de serviços de desenvolvimento (por escopo/fases).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Modalidade: remoto. Garantia: 30 dias após a entrega.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Opção B — Compra na infraestrutura do cliente (Unilever)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Aplicação e banco hospedados no ambiente da Unilever. Inclui contingência para provisionamento de acessos, pipeline de deploy corporativo, revisão de segurança e homologação no ambiente do cliente. Sem mensalidade de infraestrutura da DriveData.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Investimento de desenvolvimento: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R$ 83.200,00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Prazo de execução: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12 a 14 semanas, conforme liberação de acessos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Tipo de contrato: prestação de serviços de desenvolvimento (por escopo/fases).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Modalidade: remoto. Garantia: 30 dias após a entrega.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Observação de risco: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ambiente on-premise, ausência de banco gerenciado, restrições de rede ou a forma de exposição da consulta ao colaborador podem exigir aditivo.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Opção C — Assinatura na infraestrutura DriveData (modelo SaaS)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Sem preço fechado de desenvolvimento. O cliente assina o acesso ao sistema, que roda inteiramente na infraestrutura da DriveData, com sustentação contínua.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Mensalidade: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R$ 2.500,00 / mês</w:t>
      </w:r>
    </w:p>
    <w:p>
      <w:pPr>
        <w:spacing w:after="4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Incluso na assinatura:</w:t>
      </w:r>
    </w:p>
    <w:p>
      <w:pPr>
        <w:pStyle w:val="ListParagraph"/>
        <w:numPr>
          <w:ilvl w:val="1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ao sistema em produção, hospedado na infraestrutura gerenciada da DriveData.</w:t>
      </w:r>
    </w:p>
    <w:p>
      <w:pPr>
        <w:pStyle w:val="ListParagraph"/>
        <w:numPr>
          <w:ilvl w:val="1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Infraestrutura, hospedagem, HTTPS e backups.</w:t>
      </w:r>
    </w:p>
    <w:p>
      <w:pPr>
        <w:pStyle w:val="ListParagraph"/>
        <w:numPr>
          <w:ilvl w:val="1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Sustentação de até 10 horas por mês para correção de erros e pequenos ajustes, não cumulativas entre meses. Novas funcionalidades são orçadas à parte.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Prazo de entrada no ar: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9 semanas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Fidelidade mínima: 12 meses, renovável. Reajuste anual na renovação, por índice a definir (ex.: IPCA).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serviço permanece no ar enquanto a assinatura estiver ativa.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3"/>
          <w:szCs w:val="23"/>
        </w:rPr>
        <w:t xml:space="preserve">Comparativo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020"/>
        <w:gridCol w:w="2067"/>
        <w:gridCol w:w="2067"/>
        <w:gridCol w:w="2066"/>
      </w:tblGrid>
      <w:tr>
        <w:trPr>
          <w:tblHeader/>
        </w:trPr>
        <w:tc>
          <w:tcPr>
            <w:tcW w:type="dxa" w:w="2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067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Opção A</w:t>
            </w:r>
          </w:p>
        </w:tc>
        <w:tc>
          <w:tcPr>
            <w:tcW w:type="dxa" w:w="2067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Opção B</w:t>
            </w:r>
          </w:p>
        </w:tc>
        <w:tc>
          <w:tcPr>
            <w:tcW w:type="dxa" w:w="2066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Opção C</w:t>
            </w:r>
          </w:p>
        </w:tc>
      </w:tr>
      <w:tr>
        <w:tc>
          <w:tcPr>
            <w:tcW w:type="dxa" w:w="2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Onde roda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Infra DriveData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Infra Unilever</w:t>
            </w:r>
          </w:p>
        </w:tc>
        <w:tc>
          <w:tcPr>
            <w:tcW w:type="dxa" w:w="2066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Infra DriveData</w:t>
            </w:r>
          </w:p>
        </w:tc>
      </w:tr>
      <w:tr>
        <w:tc>
          <w:tcPr>
            <w:tcW w:type="dxa" w:w="2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Propriedade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Unilever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Unilever</w:t>
            </w:r>
          </w:p>
        </w:tc>
        <w:tc>
          <w:tcPr>
            <w:tcW w:type="dxa" w:w="2066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DriveData (assinatura)</w:t>
            </w:r>
          </w:p>
        </w:tc>
      </w:tr>
      <w:tr>
        <w:tc>
          <w:tcPr>
            <w:tcW w:type="dxa" w:w="2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Desenvolvimento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R$ 49.400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R$ 83.200</w:t>
            </w:r>
          </w:p>
        </w:tc>
        <w:tc>
          <w:tcPr>
            <w:tcW w:type="dxa" w:w="2066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Sem preço fechado</w:t>
            </w:r>
          </w:p>
        </w:tc>
      </w:tr>
      <w:tr>
        <w:tc>
          <w:tcPr>
            <w:tcW w:type="dxa" w:w="2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Mensalidade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R$ 950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—</w:t>
            </w:r>
          </w:p>
        </w:tc>
        <w:tc>
          <w:tcPr>
            <w:tcW w:type="dxa" w:w="2066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R$ 2.500</w:t>
            </w:r>
          </w:p>
        </w:tc>
      </w:tr>
      <w:tr>
        <w:tc>
          <w:tcPr>
            <w:tcW w:type="dxa" w:w="2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Prazo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9 semanas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12 a 14 semanas</w:t>
            </w:r>
          </w:p>
        </w:tc>
        <w:tc>
          <w:tcPr>
            <w:tcW w:type="dxa" w:w="2066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9 semanas</w:t>
            </w:r>
          </w:p>
        </w:tc>
      </w:tr>
      <w:tr>
        <w:tc>
          <w:tcPr>
            <w:tcW w:type="dxa" w:w="2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Garantia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30 dias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30 dias</w:t>
            </w:r>
          </w:p>
        </w:tc>
        <w:tc>
          <w:tcPr>
            <w:tcW w:type="dxa" w:w="2066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Sustentação contínua</w:t>
            </w:r>
          </w:p>
        </w:tc>
      </w:tr>
      <w:tr>
        <w:tc>
          <w:tcPr>
            <w:tcW w:type="dxa" w:w="2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Despesa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CAPEX + OPEX baixa</w:t>
            </w:r>
          </w:p>
        </w:tc>
        <w:tc>
          <w:tcPr>
            <w:tcW w:type="dxa" w:w="2067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CAPEX</w:t>
            </w:r>
          </w:p>
        </w:tc>
        <w:tc>
          <w:tcPr>
            <w:tcW w:type="dxa" w:w="2066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OPEX</w:t>
            </w:r>
          </w:p>
        </w:tc>
      </w:tr>
      <w:tr>
        <w:tc>
          <w:tcPr>
            <w:tcW w:type="dxa" w:w="2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3272F"/>
                <w:sz w:val="17"/>
                <w:szCs w:val="17"/>
              </w:rPr>
              <w:t xml:space="preserve">Indicado para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Começar rápido em ambiente próprio</w:t>
            </w:r>
          </w:p>
        </w:tc>
        <w:tc>
          <w:tcPr>
            <w:tcW w:type="dxa" w:w="2067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Tudo no ambiente Unilever</w:t>
            </w:r>
          </w:p>
        </w:tc>
        <w:tc>
          <w:tcPr>
            <w:tcW w:type="dxa" w:w="2066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Assinar sem investimento inicial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Forma de pagamento do desenvolvimento (A e B): a combinar por marcos (ex.: 40% na assinatura, 30% na homologação, 30% na entrega).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10. Garantia e suporte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Opções A e B: 30 dias de garantia após a entrega, para correção de defeitos.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Opção C: sustentação contínua enquanto a assinatura estiver ativa.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Alterações de escopo são tratadas por aditivo, com impacto em prazo e valor.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11. Confidencialidade (LGPD)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DriveData Ltda. compromete-se a manter sigilo sobre todas as informações, dados, documentos e acessos disponibilizados pela Unilever para a execução deste projeto, utilizando-os exclusivamente para esta finalidade. O compromisso abrange dados pessoais e de saúde dos colaboradores, tratados conforme a Lei Geral de Proteção de Dados (Lei 13.709/2018), e permanece válido durante a vigência do contrato e por 5 (cinco) anos após o seu término.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28"/>
          <w:szCs w:val="28"/>
        </w:rPr>
        <w:t xml:space="preserve">12. Validade e aceite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assinatura deste documento representa o aceite formal do escopo, das condições comerciais e das premissas aqui descritas, autorizando o início dos trabalhos. Alterações de escopo serão tratadas por aditivo, com impacto em prazo e valor acordado entre as partes. Esta proposta tem validade de 30 (trinta) dias a partir da data de emissão.</w:t>
      </w:r>
    </w:p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Opção contratada:  (   ) A     (   ) B     (   ) C</w:t>
      </w:r>
    </w:p>
    <w:p>
      <w:pPr>
        <w:spacing w:after="220"/>
      </w:pP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Barueri/SP, ______ de ______________ de 2026.</w:t>
      </w:r>
    </w:p>
    <w:p>
      <w:pPr>
        <w:spacing w:after="260"/>
      </w:pP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110"/>
        <w:gridCol w:w="4110"/>
      </w:tblGrid>
      <w:tr>
        <w:trPr>
          <w:tblHeader/>
        </w:trPr>
        <w:tc>
          <w:tcPr>
            <w:tcW w:type="dxa" w:w="411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Fornecedor</w:t>
            </w:r>
          </w:p>
        </w:tc>
        <w:tc>
          <w:tcPr>
            <w:tcW w:type="dxa" w:w="411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Cliente</w:t>
            </w:r>
          </w:p>
        </w:tc>
      </w:tr>
      <w:tr>
        <w:tc>
          <w:tcPr>
            <w:tcW w:type="dxa" w:w="41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7"/>
                <w:szCs w:val="17"/>
              </w:rPr>
              <w:t xml:space="preserve">
_______________________________
Tamires Bastilha Cavani
DriveData Ltda. · Proprietária</w:t>
            </w:r>
          </w:p>
        </w:tc>
        <w:tc>
          <w:tcPr>
            <w:tcW w:type="dxa" w:w="411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7"/>
                <w:szCs w:val="17"/>
              </w:rPr>
              <w:t xml:space="preserve">
_______________________________
Nome / Cargo
Unilever</w:t>
            </w:r>
          </w:p>
        </w:tc>
      </w:tr>
    </w:tbl>
    <w:p>
      <w:pPr>
        <w:spacing w:after="160"/>
      </w:pPr>
    </w:p>
    <w:p>
      <w:pPr>
        <w:pBdr>
          <w:bottom w:val="single" w:color="1F36C7" w:sz="6"/>
        </w:pBdr>
        <w:spacing w:after="120"/>
      </w:pP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i/>
          <w:iCs/>
          <w:color w:val="5B6478"/>
          <w:sz w:val="17"/>
          <w:szCs w:val="17"/>
        </w:rPr>
        <w:t xml:space="preserve">DriveData Ltda. · CNPJ 55.175.790/0001-38 · Proposta PROP-2026-0005 · Confidencial.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AA3B6"/>
        <w:sz w:val="16"/>
        <w:szCs w:val="16"/>
      </w:rPr>
      <w:t xml:space="preserve">DriveData Ltda. · PROP-2026-0005 · Confidencial · Página </w:t>
    </w:r>
    <w:r>
      <w:rPr>
        <w:rFonts w:ascii="Calibri" w:cs="Calibri" w:eastAsia="Calibri" w:hAnsi="Calibri"/>
        <w:color w:val="9AA3B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AA3B6"/>
        <w:sz w:val="16"/>
        <w:szCs w:val="16"/>
      </w:rPr>
      <w:t xml:space="preserve">Proposta · Passaporte de Segurança · Unilever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bdd92405d48759b13ecf03a06e4e929918453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— Passaporte de Segurança — Unilever</dc:title>
  <dc:creator>DriveData</dc:creator>
  <cp:lastModifiedBy>Un-named</cp:lastModifiedBy>
  <cp:revision>1</cp:revision>
  <dcterms:created xsi:type="dcterms:W3CDTF">2026-09-03T11:46:39.862Z</dcterms:created>
  <dcterms:modified xsi:type="dcterms:W3CDTF">2026-09-03T11:46:39.862Z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