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0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F36C7"/>
          <w:sz w:val="44"/>
          <w:szCs w:val="44"/>
        </w:rPr>
        <w:t xml:space="preserve">PASSAPORTE DE SEGURANÇA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0E1424"/>
          <w:sz w:val="30"/>
          <w:szCs w:val="30"/>
        </w:rPr>
        <w:t xml:space="preserve">Carteirinha Digital de Treinamentos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5B6478"/>
          <w:sz w:val="22"/>
          <w:szCs w:val="22"/>
        </w:rPr>
        <w:t xml:space="preserve">Documento de Escopo Funcional Detalhado</w:t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0E1424"/>
          <w:sz w:val="22"/>
          <w:szCs w:val="22"/>
        </w:rPr>
        <w:t xml:space="preserve">Cliente: Unilever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5B6478"/>
          <w:sz w:val="20"/>
          <w:szCs w:val="20"/>
        </w:rPr>
        <w:t xml:space="preserve">Fornecedor: DriveData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color w:val="5B6478"/>
          <w:sz w:val="20"/>
          <w:szCs w:val="20"/>
        </w:rPr>
        <w:t xml:space="preserve">Versão 1.2  ·  28 de agosto de 2026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Controle de versão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900"/>
        <w:gridCol w:w="1250"/>
        <w:gridCol w:w="1500"/>
        <w:gridCol w:w="4570"/>
      </w:tblGrid>
      <w:tr>
        <w:trPr>
          <w:tblHeader/>
        </w:trPr>
        <w:tc>
          <w:tcPr>
            <w:tcW w:type="dxa" w:w="9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Versão</w:t>
            </w:r>
          </w:p>
        </w:tc>
        <w:tc>
          <w:tcPr>
            <w:tcW w:type="dxa" w:w="125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15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Autor</w:t>
            </w:r>
          </w:p>
        </w:tc>
        <w:tc>
          <w:tcPr>
            <w:tcW w:type="dxa" w:w="457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1.0</w:t>
            </w:r>
          </w:p>
        </w:tc>
        <w:tc>
          <w:tcPr>
            <w:tcW w:type="dxa" w:w="125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27/08/2026</w:t>
            </w:r>
          </w:p>
        </w:tc>
        <w:tc>
          <w:tcPr>
            <w:tcW w:type="dxa" w:w="15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DriveData</w:t>
            </w:r>
          </w:p>
        </w:tc>
        <w:tc>
          <w:tcPr>
            <w:tcW w:type="dxa" w:w="457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Versão inicial do escopo funcional, baseada na reunião de alinhamento e nos modelos físicos das carteirinhas.</w:t>
            </w:r>
          </w:p>
        </w:tc>
      </w:tr>
      <w:tr>
        <w:tc>
          <w:tcPr>
            <w:tcW w:type="dxa" w:w="9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1.1</w:t>
            </w:r>
          </w:p>
        </w:tc>
        <w:tc>
          <w:tcPr>
            <w:tcW w:type="dxa" w:w="125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28/08/2026</w:t>
            </w:r>
          </w:p>
        </w:tc>
        <w:tc>
          <w:tcPr>
            <w:tcW w:type="dxa" w:w="15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DriveData</w:t>
            </w:r>
          </w:p>
        </w:tc>
        <w:tc>
          <w:tcPr>
            <w:tcW w:type="dxa" w:w="457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Ajustes após retorno da Unilever: visualização em celular, tablet e computador; alerta de vencimento em 60 dias; inativação de colaboradores; rótulo "Não autorizado"; fluxo de emissão e de ASO.</w:t>
            </w:r>
          </w:p>
        </w:tc>
      </w:tr>
      <w:tr>
        <w:tc>
          <w:tcPr>
            <w:tcW w:type="dxa" w:w="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1.2</w:t>
            </w:r>
          </w:p>
        </w:tc>
        <w:tc>
          <w:tcPr>
            <w:tcW w:type="dxa" w:w="125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28/08/2026</w:t>
            </w:r>
          </w:p>
        </w:tc>
        <w:tc>
          <w:tcPr>
            <w:tcW w:type="dxa" w:w="15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DriveData</w:t>
            </w:r>
          </w:p>
        </w:tc>
        <w:tc>
          <w:tcPr>
            <w:tcW w:type="dxa" w:w="457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Autenticação da equipe dentro da própria plataforma (e-mail e senha), sem SSO corporativo. Inclui gestão de usuários pelo administrador.</w:t>
            </w:r>
          </w:p>
        </w:tc>
      </w:tr>
    </w:tbl>
    <w:p>
      <w:pPr>
        <w:spacing w:after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1. Contexto e justificativa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Hoje a Unilever controla os treinamentos de segurança dos colaboradores por meio de carteirinhas físicas de papel. Cada colaborador porta uma carteirinha que comprova quais treinamentos legais e mandatórios estão válidos. Ela autoriza a pessoa a executar ou a liberar determinadas atividades.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Esse modelo gera diversos gargalos operacionais: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Perda frequente das carteirinhas físicas. É comum o colaborador perder ou danificar o documento.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Reciclagem sem renovação imediata. Quando o treinamento é reciclado, a carteirinha física nem sempre é atualizada na hora.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Fluxo lento de emissão. As listas retornam para a coordenação de treinamentos, alimentam a base, o time de segurança emite e assina, e a validade do ASO é buscada junto ao time de saúde.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Risco de execução de atividade com habilitação vencida, o que representa risco de segurança e de conformidade legal.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demanda é transformar a carteirinha física em uma versão digital, acessível de forma simples pelo próprio colaborador e verificável em campo pela equipe de segurança durante as caminhadas de segurança.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2. Objetivo do projeto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Disponibilizar uma carteirinha digital de treinamentos, acessível por um site responsivo, sem necessidade de instalar aplicativo e sem exigir conta corporativa Unilever para o colaborador.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Objetivos específicos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Permitir que o colaborador consulte sua carteirinha informando o RE ou lendo um QR Code.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Exibir a validade de cada treinamento, sinalizando de forma clara o que está válido, o que está próximo do vencimento e o que está vencido.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Reproduzir de forma fiel os dois modelos de carteirinha em uso: Executor e Liberador.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Dar à equipe de SHE uma visão de conformidade da fábrica, com destaque para vencimentos.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Reduzir o trabalho manual, consumindo os dados diretamente das fontes já existentes.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3. Visão geral da solução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solução é um sistema web único e responsivo, com duas experiências integradas: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Consulta pública (colaborador):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página leve, otimizada para celular, acessada por QR Code ou pela digitação do RE. Não exige login.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Painel de gestão (SHE / administração):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área autenticada para a equipe de segurança, saúde e coordenação de treinamentos, com painel de conformidade, gestão de colaboradores, catálogo de treinamentos, controle de vencimentos, integrações e auditoria.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O mesmo documento digital que a equipe emite é o que o colaborador visualiza pelo QR. A carteirinha traz um selo de autenticação e um código de verificação, o que impede o uso de documento adulterado ou vencido.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Responsividade: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o sistema se adapta a celular, tablet e computador. A consulta do colaborador é otimizada para celular, e a gestão funciona bem em telas maiores, que tendem a ser o uso mais comum da equipe.</w:t>
      </w:r>
    </w:p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5B6478"/>
          <w:sz w:val="21"/>
          <w:szCs w:val="21"/>
        </w:rPr>
        <w:t xml:space="preserve">Observação: já existe um protótipo navegável de alta fidelidade desta solução, com dados reais de amostra, usado para validar o entendimento antes do desenvolvimento.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4. Perfis de acesso</w:t>
      </w:r>
    </w:p>
    <w:tbl>
      <w:tblPr>
        <w:tblW w:type="dxa" w:w="90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2600"/>
        <w:gridCol w:w="1900"/>
        <w:gridCol w:w="4520"/>
      </w:tblGrid>
      <w:tr>
        <w:trPr>
          <w:tblHeader/>
        </w:trPr>
        <w:tc>
          <w:tcPr>
            <w:tcW w:type="dxa" w:w="26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Perfil</w:t>
            </w:r>
          </w:p>
        </w:tc>
        <w:tc>
          <w:tcPr>
            <w:tcW w:type="dxa" w:w="19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Acesso</w:t>
            </w:r>
          </w:p>
        </w:tc>
        <w:tc>
          <w:tcPr>
            <w:tcW w:type="dxa" w:w="45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Principais permissões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Administrador / Coord. de Treinamentos</w:t>
            </w:r>
          </w:p>
        </w:tc>
        <w:tc>
          <w:tcPr>
            <w:tcW w:type="dxa" w:w="1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Login na plataforma</w:t>
            </w:r>
          </w:p>
        </w:tc>
        <w:tc>
          <w:tcPr>
            <w:tcW w:type="dxa" w:w="45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Gerencia usuários, treinamentos, colaboradores, regras de validade e integrações. Emite e valida carteirinhas.</w:t>
            </w:r>
          </w:p>
        </w:tc>
      </w:tr>
      <w:tr>
        <w:tc>
          <w:tcPr>
            <w:tcW w:type="dxa" w:w="2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Segurança do Trabalho (SHE)</w:t>
            </w:r>
          </w:p>
        </w:tc>
        <w:tc>
          <w:tcPr>
            <w:tcW w:type="dxa" w:w="19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Login na plataforma</w:t>
            </w:r>
          </w:p>
        </w:tc>
        <w:tc>
          <w:tcPr>
            <w:tcW w:type="dxa" w:w="45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Emite e valida carteirinhas. Consulta em campo. Acompanha vencimentos.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Saúde Ocupacional</w:t>
            </w:r>
          </w:p>
        </w:tc>
        <w:tc>
          <w:tcPr>
            <w:tcW w:type="dxa" w:w="19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Login na plataforma</w:t>
            </w:r>
          </w:p>
        </w:tc>
        <w:tc>
          <w:tcPr>
            <w:tcW w:type="dxa" w:w="45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Gerencia a validade do ASO.</w:t>
            </w:r>
          </w:p>
        </w:tc>
      </w:tr>
      <w:tr>
        <w:tc>
          <w:tcPr>
            <w:tcW w:type="dxa" w:w="2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Colaborador</w:t>
            </w:r>
          </w:p>
        </w:tc>
        <w:tc>
          <w:tcPr>
            <w:tcW w:type="dxa" w:w="19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Sem login (RE ou QR)</w:t>
            </w:r>
          </w:p>
        </w:tc>
        <w:tc>
          <w:tcPr>
            <w:tcW w:type="dxa" w:w="45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Consulta a própria carteirinha. Somente leitura.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Autenticação e usuários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Os usuários da equipe são criados e gerenciados dentro da própria plataforma, pelo administrador. O acesso é por e-mail e senha, com redefinição de senha por e-mail. Não há integração com o login corporativo (SSO). O colaborador não faz login: consulta por RE ou QR.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Fluxo de emissão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Tanto a Coordenação de Treinamentos quanto a equipe de SHE emitem e validam carteirinhas. A emissão consome os dados já existentes nas fontes, sem redigitação.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Validação do ASO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validade do ASO vem da base de saúde. Não há assinatura manuscrita: o selo digital da carteirinha substitui a assinatura, como já ocorre em outras fábricas da Unilever. Dois cenários possíveis, a alinhar com o time de Saúde: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Integração automática (recomendado):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a validade do ASO é lida direto do sistema de saúde (SOC). Nenhuma ação manual é necessária.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Atualização manual: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enquanto não houver integração, a equipe de Saúde mantém a validade do ASO por um campo próprio no sistema.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5. Escopo funcional detalhado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5.1. Consulta da carteirinha (colaborador)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Acesso por site responsivo, sem instalação de aplicativo.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Entrada por leitura de QR Code ou digitação do RE (registro do colaborador).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Exibição imediata da carteirinha correspondente ao colaborador.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Alternância entre as visões Executor e Liberador.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Funciona no celular pessoal do colaborador, sem conta Unilever.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5.2. Carteirinha digital — Executor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Reproduz a carteirinha física do executor de atividades. Estrutura: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Cabeçalho: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identidade visual Unilever e referência à Portaria 3.214 de 08/06/1978.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Dados de identificação: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foto, nome, empresa, função, RE, área e turno.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Renovação da integração e renovação do ASO: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com data e sinalização de validade.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Validade dos treinamentos: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lista das habilitações ativas com data de vencimento e status colorido, além da relação do que a pessoa não está habilitada.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Vistos digitais: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visto de SHE (segurança) e visto de saúde (ASO).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Aviso permanente: não operar equipamentos com habilitação vencida.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5.3. Carteirinha digital — Liberador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Reproduz a carteirinha de autorização para trabalhos especializados. Lista fixa de atividades, cada uma com data de validade e visto de SHE: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4560"/>
        <w:gridCol w:w="3660"/>
      </w:tblGrid>
      <w:tr>
        <w:trPr>
          <w:tblHeader/>
        </w:trPr>
        <w:tc>
          <w:tcPr>
            <w:tcW w:type="dxa" w:w="456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Trabalho especializado</w:t>
            </w:r>
          </w:p>
        </w:tc>
        <w:tc>
          <w:tcPr>
            <w:tcW w:type="dxa" w:w="366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Base / referência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Trabalho Elétrico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NR-10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Trabalho em Altura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NR-35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Trabalho Confinado (Supervisor)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NR-33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Inflamáveis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NR-20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PSM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Process Safety Management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Combustible dust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Atmosferas explosivas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Trabalho a Quente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Permissão de trabalho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Içamento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Movimentação de carga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Escavação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Permissão de trabalho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Line breaking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Abertura de linha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Atividade autorizada exibe a data "Até" e o visto de SHE. Atividade sem habilitação exibe o rótulo "Não autorizado", em vez de ficar em branco.</w:t>
      </w:r>
    </w:p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5B6478"/>
          <w:sz w:val="21"/>
          <w:szCs w:val="21"/>
        </w:rPr>
        <w:t xml:space="preserve">A lista de temas acima pode sofrer atualizações pontuais por parte da Unilever, mantendo aproximadamente a mesma quantidade de itens.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5.4. Painel de conformidade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Indicadores gerais: total de colaboradores, treinamentos válidos, vencendo em 30 dias e vencidos.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Percentual de conformidade da fábrica.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Conformidade por área.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Distribuição de habilitações por treinamento.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Lista de vencimentos próximos.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5.5. Gestão de colaboradores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Lista de colaboradores com busca por nome ou RE e filtros por área, turno, situação e vínculo (ativo ou inativo).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Ficha do colaborador com dados, histórico de treinamentos e carteirinha.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Ações de reemissão e envio do link da carteirinha.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Desligamento por inativação: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ao sair, o colaborador é inativado, não excluído. Ele sai das listas ativas e da consulta por RE, mas o histórico é preservado para auditoria. Nada é apagado da base. Um colaborador inativado pode ser reativado.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5.6. Gestão de treinamentos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Catálogo de tipos de treinamento.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Cadastro, edição e exclusão de treinamentos.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Ativação e desativação de um treinamento.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Definição do tipo (Legal, Mandatório, UMS), da validade e da categoria.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Visão de quantos colaboradores estão habilitados e quantos estão vencidos por treinamento.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5.7. Vencimentos e alertas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Relação de habilitações vencidas e a vencer nos próximos 30 dias, ordenada por urgência.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Notificação de vencimentos no topo do sistema.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Base para plano de reciclagem e comunicação aos gestores.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5.8. Autenticação e verificação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Selo de documento autenticado em cada carteirinha.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Código único de verificação e QR de autenticação.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carteirinha só é válida com o selo digital ativo, o que substitui a assinatura física.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5.9. Auditoria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auditoria é o registro de quem fez o quê e quando no sistema. Serve para garantir conformidade e rastreabilidade: em uma fiscalização ou investigação, é possível comprovar que a carteirinha foi emitida com base em dados válidos e saber quem realizou cada ação.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Registro das ações relevantes (emissão de carteirinha, alteração de treinamento, sincronização de base, sinalização de vencimento).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Log com data, usuário, ação e alvo. Não pode ser alterado.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5.10. Configurações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Gestão de usuários: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o administrador cria, edita, define o perfil e inativa os usuários da equipe, dentro da própria plataforma.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Perfis de acesso.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Regra de vencimento e antecedência do alerta.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6. Integrações e fontes de dados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2100"/>
        <w:gridCol w:w="4020"/>
        <w:gridCol w:w="2100"/>
      </w:tblGrid>
      <w:tr>
        <w:trPr>
          <w:tblHeader/>
        </w:trPr>
        <w:tc>
          <w:tcPr>
            <w:tcW w:type="dxa" w:w="21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Fonte</w:t>
            </w:r>
          </w:p>
        </w:tc>
        <w:tc>
          <w:tcPr>
            <w:tcW w:type="dxa" w:w="40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  <w:tc>
          <w:tcPr>
            <w:tcW w:type="dxa" w:w="21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SharePoint (Base de Treinamentos)</w:t>
            </w:r>
          </w:p>
        </w:tc>
        <w:tc>
          <w:tcPr>
            <w:tcW w:type="dxa" w:w="4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Responde por cerca de 98% dos treinamentos legais e mandatórios. Fonte principal.</w:t>
            </w:r>
          </w:p>
        </w:tc>
        <w:tc>
          <w:tcPr>
            <w:tcW w:type="dxa" w:w="2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Disponível. Acesso a alinhar.</w:t>
            </w:r>
          </w:p>
        </w:tc>
      </w:tr>
      <w:tr>
        <w:tc>
          <w:tcPr>
            <w:tcW w:type="dxa" w:w="21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API UniU</w:t>
            </w:r>
          </w:p>
        </w:tc>
        <w:tc>
          <w:tcPr>
            <w:tcW w:type="dxa" w:w="4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Plataforma de treinamentos online. Traz NR-6, NR-12 e NR-20.</w:t>
            </w:r>
          </w:p>
        </w:tc>
        <w:tc>
          <w:tcPr>
            <w:tcW w:type="dxa" w:w="21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A confirmar detalhes técnicos com a equipe digital (Tex).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SOC (Saúde Ocupacional)</w:t>
            </w:r>
          </w:p>
        </w:tc>
        <w:tc>
          <w:tcPr>
            <w:tcW w:type="dxa" w:w="4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Validade do ASO de cada colaborador.</w:t>
            </w:r>
          </w:p>
        </w:tc>
        <w:tc>
          <w:tcPr>
            <w:tcW w:type="dxa" w:w="2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Integração pendente. Depende de liberação do time de Saúde.</w:t>
            </w:r>
          </w:p>
        </w:tc>
      </w:tr>
      <w:tr>
        <w:tc>
          <w:tcPr>
            <w:tcW w:type="dxa" w:w="21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Power BI</w:t>
            </w:r>
          </w:p>
        </w:tc>
        <w:tc>
          <w:tcPr>
            <w:tcW w:type="dxa" w:w="4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Painéis de acompanhamento sobre a mesma base.</w:t>
            </w:r>
          </w:p>
        </w:tc>
        <w:tc>
          <w:tcPr>
            <w:tcW w:type="dxa" w:w="21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Existente.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5B6478"/>
          <w:sz w:val="21"/>
          <w:szCs w:val="21"/>
        </w:rPr>
        <w:t xml:space="preserve">Nenhum dado é digitado manualmente na carteirinha. Todos vêm das fontes acima.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7. Regras de negócio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Cálculo de vencimento: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data de vencimento = data de realização + validade (em dias) do treinamento.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Alerta de vencimento próximo: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disparado 60 dias antes do vencimento.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Situação do colaborador: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qualquer treinamento vencido torna o colaborador inapto para a atividade correspondente.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Registro mais recente: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quando há mais de um registro do mesmo treinamento, vale a realização mais recente.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b/>
          <w:bCs/>
          <w:color w:val="23272F"/>
          <w:sz w:val="21"/>
          <w:szCs w:val="21"/>
        </w:rPr>
        <w:t xml:space="preserve">Validade por treinamento: </w:t>
      </w:r>
      <w:r>
        <w:rPr>
          <w:rFonts w:ascii="Calibri" w:cs="Calibri" w:eastAsia="Calibri" w:hAnsi="Calibri"/>
          <w:color w:val="23272F"/>
          <w:sz w:val="21"/>
          <w:szCs w:val="21"/>
        </w:rPr>
        <w:t xml:space="preserve">cada treinamento tem sua própria validade (por exemplo 1, 2 ou 3 anos), configurável.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8. Requisitos não funcionais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Responsivo em celular, tablet e computador.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Sem necessidade de instalar aplicativo.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Acesso do colaborador sem conta corporativa Unilever.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Carregamento rápido, adequado à consulta em campo.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Autenticação da equipe por e-mail e senha, com usuários criados e gerenciados dentro da plataforma.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Tratamento adequado de dados pessoais e de saúde, em linha com a LGPD.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Registro de auditoria das ações do sistema.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9. Fora de escopo (Fase 1)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Assinatura manuscrita digitalizada. O selo digital substitui a assinatura, conforme praticado por outras fábricas.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Integração automática com o SOC enquanto não houver liberação do time de Saúde.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Cadastro de trabalhos especializados além dos listados, salvo alinhamento.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Aplicativo nativo para instalação em loja.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10. Premissas e dependências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Disponibilização do acesso à base de treinamentos no SharePoint.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Retorno técnico sobre a API UniU (equipe digital / Tex).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Definição, com o time de Saúde, de como o dado de ASO será disponibilizado.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Confirmação da lista final de treinamentos que entram em cada carteirinha.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Definição da origem dos dados de NR-20, PSM, Combustible dust, Içamento e Escavação, hoje ausentes da base principal.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11. Estrutura de dados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 base principal de treinamentos possui a seguinte estrutura por registro: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2600"/>
        <w:gridCol w:w="5620"/>
      </w:tblGrid>
      <w:tr>
        <w:trPr>
          <w:tblHeader/>
        </w:trPr>
        <w:tc>
          <w:tcPr>
            <w:tcW w:type="dxa" w:w="26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56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RE</w:t>
            </w:r>
          </w:p>
        </w:tc>
        <w:tc>
          <w:tcPr>
            <w:tcW w:type="dxa" w:w="56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Registro do colaborador (identificador).</w:t>
            </w:r>
          </w:p>
        </w:tc>
      </w:tr>
      <w:tr>
        <w:tc>
          <w:tcPr>
            <w:tcW w:type="dxa" w:w="2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Nome</w:t>
            </w:r>
          </w:p>
        </w:tc>
        <w:tc>
          <w:tcPr>
            <w:tcW w:type="dxa" w:w="56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Nome do colaborador.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Gestor</w:t>
            </w:r>
          </w:p>
        </w:tc>
        <w:tc>
          <w:tcPr>
            <w:tcW w:type="dxa" w:w="56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Gestor responsável.</w:t>
            </w:r>
          </w:p>
        </w:tc>
      </w:tr>
      <w:tr>
        <w:tc>
          <w:tcPr>
            <w:tcW w:type="dxa" w:w="2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Área</w:t>
            </w:r>
          </w:p>
        </w:tc>
        <w:tc>
          <w:tcPr>
            <w:tcW w:type="dxa" w:w="56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Área da fábrica.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Turno</w:t>
            </w:r>
          </w:p>
        </w:tc>
        <w:tc>
          <w:tcPr>
            <w:tcW w:type="dxa" w:w="56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Turno de trabalho.</w:t>
            </w:r>
          </w:p>
        </w:tc>
      </w:tr>
      <w:tr>
        <w:tc>
          <w:tcPr>
            <w:tcW w:type="dxa" w:w="2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Nome do Treinamento</w:t>
            </w:r>
          </w:p>
        </w:tc>
        <w:tc>
          <w:tcPr>
            <w:tcW w:type="dxa" w:w="56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Treinamento realizado.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Data Realizada</w:t>
            </w:r>
          </w:p>
        </w:tc>
        <w:tc>
          <w:tcPr>
            <w:tcW w:type="dxa" w:w="56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Data de realização.</w:t>
            </w:r>
          </w:p>
        </w:tc>
      </w:tr>
      <w:tr>
        <w:tc>
          <w:tcPr>
            <w:tcW w:type="dxa" w:w="2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Validade (Dias)</w:t>
            </w:r>
          </w:p>
        </w:tc>
        <w:tc>
          <w:tcPr>
            <w:tcW w:type="dxa" w:w="56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Prazo de validade em dias.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Tipo</w:t>
            </w:r>
          </w:p>
        </w:tc>
        <w:tc>
          <w:tcPr>
            <w:tcW w:type="dxa" w:w="56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Legal, Mandatório ou UMS.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0E1424"/>
          <w:sz w:val="24"/>
          <w:szCs w:val="24"/>
        </w:rPr>
        <w:t xml:space="preserve">Volumetria da amostra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4560"/>
        <w:gridCol w:w="3660"/>
      </w:tblGrid>
      <w:tr>
        <w:trPr>
          <w:tblHeader/>
        </w:trPr>
        <w:tc>
          <w:tcPr>
            <w:tcW w:type="dxa" w:w="456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366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Colaboradores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508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Habilitações (registros)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1460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Tipos de treinamento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23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Conformidade geral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76%</w:t>
            </w:r>
          </w:p>
        </w:tc>
      </w:tr>
      <w:tr>
        <w:tc>
          <w:tcPr>
            <w:tcW w:type="dxa" w:w="45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Habilitações vencidas</w:t>
            </w:r>
          </w:p>
        </w:tc>
        <w:tc>
          <w:tcPr>
            <w:tcW w:type="dxa" w:w="366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325</w:t>
            </w:r>
          </w:p>
        </w:tc>
      </w:tr>
      <w:tr>
        <w:tc>
          <w:tcPr>
            <w:tcW w:type="dxa" w:w="45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Colaboradores com pendência</w:t>
            </w:r>
          </w:p>
        </w:tc>
        <w:tc>
          <w:tcPr>
            <w:tcW w:type="dxa" w:w="366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186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5B6478"/>
          <w:sz w:val="18"/>
          <w:szCs w:val="18"/>
        </w:rPr>
        <w:t xml:space="preserve">Números apurados sobre a base de amostra fornecida, com data de referência 27/08/2026.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12. Fases e entregáveis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2100"/>
        <w:gridCol w:w="4520"/>
        <w:gridCol w:w="1600"/>
      </w:tblGrid>
      <w:tr>
        <w:trPr>
          <w:tblHeader/>
        </w:trPr>
        <w:tc>
          <w:tcPr>
            <w:tcW w:type="dxa" w:w="21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5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Entregável</w:t>
            </w:r>
          </w:p>
        </w:tc>
        <w:tc>
          <w:tcPr>
            <w:tcW w:type="dxa" w:w="16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Fase 0 — Protótipo</w:t>
            </w:r>
          </w:p>
        </w:tc>
        <w:tc>
          <w:tcPr>
            <w:tcW w:type="dxa" w:w="45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Protótipo navegável de alta fidelidade para validação do entendimento.</w:t>
            </w:r>
          </w:p>
        </w:tc>
        <w:tc>
          <w:tcPr>
            <w:tcW w:type="dxa" w:w="1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Concluída.</w:t>
            </w:r>
          </w:p>
        </w:tc>
      </w:tr>
      <w:tr>
        <w:tc>
          <w:tcPr>
            <w:tcW w:type="dxa" w:w="21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Fase 1 — MVP</w:t>
            </w:r>
          </w:p>
        </w:tc>
        <w:tc>
          <w:tcPr>
            <w:tcW w:type="dxa" w:w="45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Sistema web com consulta por RE/QR, carteirinhas Executor e Liberador, painel e gestão, consumindo a base do SharePoint.</w:t>
            </w:r>
          </w:p>
        </w:tc>
        <w:tc>
          <w:tcPr>
            <w:tcW w:type="dxa" w:w="1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A iniciar.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Fase 2 — Integrações</w:t>
            </w:r>
          </w:p>
        </w:tc>
        <w:tc>
          <w:tcPr>
            <w:tcW w:type="dxa" w:w="45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Conexão com a API UniU (NR-6, NR-12, NR-20).</w:t>
            </w:r>
          </w:p>
        </w:tc>
        <w:tc>
          <w:tcPr>
            <w:tcW w:type="dxa" w:w="1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Planejada.</w:t>
            </w:r>
          </w:p>
        </w:tc>
      </w:tr>
      <w:tr>
        <w:tc>
          <w:tcPr>
            <w:tcW w:type="dxa" w:w="21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Fase 3 — ASO / SOC</w:t>
            </w:r>
          </w:p>
        </w:tc>
        <w:tc>
          <w:tcPr>
            <w:tcW w:type="dxa" w:w="45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Integração da validade do ASO, conforme liberação do time de Saúde.</w:t>
            </w:r>
          </w:p>
        </w:tc>
        <w:tc>
          <w:tcPr>
            <w:tcW w:type="dxa" w:w="16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Planejada.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13. Critérios de aceite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Colaborador consulta a carteirinha por RE e por QR, no celular, sem login.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Carteirinhas Executor e Liberador refletem os modelos físicos e a base de dados.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Vencimentos aparecem corretamente, com destaque para vencidos e a vencer.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Equipe de SHE gerencia treinamentos e visualiza a conformidade.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Dados consumidos das fontes, sem digitação manual na carteirinha.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14. Próximos passos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Validação deste escopo pela Unilever.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Liberação do acesso à base do SharePoint.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Alinhamento técnico da API UniU com a equipe digital.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Alinhamento com o time de Saúde sobre o dado de ASO.</w:t>
      </w:r>
    </w:p>
    <w:p>
      <w:pPr>
        <w:pStyle w:val="ListParagraph"/>
        <w:numPr>
          <w:ilvl w:val="0"/>
          <w:numId w:val="1"/>
        </w:numPr>
        <w:spacing w:after="60" w:line="270"/>
      </w:pPr>
      <w:r>
        <w:rPr>
          <w:rFonts w:ascii="Calibri" w:cs="Calibri" w:eastAsia="Calibri" w:hAnsi="Calibri"/>
          <w:color w:val="23272F"/>
          <w:sz w:val="21"/>
          <w:szCs w:val="21"/>
        </w:rPr>
        <w:t xml:space="preserve">Elaboração da proposta comercial e do cronograma.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6C7"/>
          <w:sz w:val="30"/>
          <w:szCs w:val="30"/>
        </w:rPr>
        <w:t xml:space="preserve">15. Glossário</w:t>
      </w:r>
    </w:p>
    <w:tbl>
      <w:tblPr>
        <w:tblW w:type="dxa" w:w="8220"/>
        <w:tblBorders>
          <w:top w:val="single" w:color="E6E9F2" w:sz="2"/>
          <w:left w:val="single" w:color="E6E9F2" w:sz="2"/>
          <w:bottom w:val="single" w:color="E6E9F2" w:sz="2"/>
          <w:right w:val="single" w:color="E6E9F2" w:sz="2"/>
          <w:insideH w:val="single" w:color="E6E9F2" w:sz="2"/>
          <w:insideV w:val="single" w:color="E6E9F2" w:sz="2"/>
        </w:tblBorders>
      </w:tblPr>
      <w:tblGrid>
        <w:gridCol w:w="2200"/>
        <w:gridCol w:w="6020"/>
      </w:tblGrid>
      <w:tr>
        <w:trPr>
          <w:tblHeader/>
        </w:trPr>
        <w:tc>
          <w:tcPr>
            <w:tcW w:type="dxa" w:w="220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6020"/>
            <w:shd w:fill="1F36C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RE</w:t>
            </w:r>
          </w:p>
        </w:tc>
        <w:tc>
          <w:tcPr>
            <w:tcW w:type="dxa" w:w="6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Registro do colaborador. Identificador usado na consulta.</w:t>
            </w:r>
          </w:p>
        </w:tc>
      </w:tr>
      <w:tr>
        <w:tc>
          <w:tcPr>
            <w:tcW w:type="dxa" w:w="22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ASO</w:t>
            </w:r>
          </w:p>
        </w:tc>
        <w:tc>
          <w:tcPr>
            <w:tcW w:type="dxa" w:w="6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Atestado de Saúde Ocupacional.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SHE</w:t>
            </w:r>
          </w:p>
        </w:tc>
        <w:tc>
          <w:tcPr>
            <w:tcW w:type="dxa" w:w="6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Safety, Health and Environment. Segurança do trabalho.</w:t>
            </w:r>
          </w:p>
        </w:tc>
      </w:tr>
      <w:tr>
        <w:tc>
          <w:tcPr>
            <w:tcW w:type="dxa" w:w="22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SOC</w:t>
            </w:r>
          </w:p>
        </w:tc>
        <w:tc>
          <w:tcPr>
            <w:tcW w:type="dxa" w:w="6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Sistema de saúde ocupacional usado pelo time de Saúde.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UniU</w:t>
            </w:r>
          </w:p>
        </w:tc>
        <w:tc>
          <w:tcPr>
            <w:tcW w:type="dxa" w:w="6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Plataforma de treinamentos online da Unilever.</w:t>
            </w:r>
          </w:p>
        </w:tc>
      </w:tr>
      <w:tr>
        <w:tc>
          <w:tcPr>
            <w:tcW w:type="dxa" w:w="22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NR</w:t>
            </w:r>
          </w:p>
        </w:tc>
        <w:tc>
          <w:tcPr>
            <w:tcW w:type="dxa" w:w="6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Norma Regulamentadora de segurança e saúde no trabalho.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Executor</w:t>
            </w:r>
          </w:p>
        </w:tc>
        <w:tc>
          <w:tcPr>
            <w:tcW w:type="dxa" w:w="6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Colaborador que executa a atividade.</w:t>
            </w:r>
          </w:p>
        </w:tc>
      </w:tr>
      <w:tr>
        <w:tc>
          <w:tcPr>
            <w:tcW w:type="dxa" w:w="220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Liberador</w:t>
            </w:r>
          </w:p>
        </w:tc>
        <w:tc>
          <w:tcPr>
            <w:tcW w:type="dxa" w:w="6020"/>
            <w:shd w:fill="F4F6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Colaborador que autoriza a execução de atividades especializadas.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23272F"/>
                <w:sz w:val="18"/>
                <w:szCs w:val="18"/>
              </w:rPr>
              <w:t xml:space="preserve">Mandatório</w:t>
            </w:r>
          </w:p>
        </w:tc>
        <w:tc>
          <w:tcPr>
            <w:tcW w:type="dxa" w:w="602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3272F"/>
                <w:sz w:val="18"/>
                <w:szCs w:val="18"/>
              </w:rPr>
              <w:t xml:space="preserve">Treinamento obrigatório interno.</w:t>
            </w:r>
          </w:p>
        </w:tc>
      </w:tr>
    </w:tbl>
    <w:p>
      <w:pPr>
        <w:spacing w:after="200"/>
      </w:pPr>
    </w:p>
    <w:p>
      <w:pPr>
        <w:pBdr>
          <w:bottom w:val="single" w:color="1F36C7" w:sz="6"/>
        </w:pBdr>
        <w:spacing w:after="120"/>
      </w:pPr>
    </w:p>
    <w:p>
      <w:pPr>
        <w:spacing w:after="120" w:before="0" w:line="276"/>
        <w:jc w:val="center"/>
      </w:pPr>
      <w:r>
        <w:rPr>
          <w:rFonts w:ascii="Calibri" w:cs="Calibri" w:eastAsia="Calibri" w:hAnsi="Calibri"/>
          <w:i/>
          <w:iCs/>
          <w:color w:val="5B6478"/>
          <w:sz w:val="18"/>
          <w:szCs w:val="18"/>
        </w:rPr>
        <w:t xml:space="preserve">Documento elaborado pela DriveData para a Unilever. Protótipo e dados de amostra disponíveis para demonstração.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AA3B6"/>
        <w:sz w:val="16"/>
        <w:szCs w:val="16"/>
      </w:rPr>
      <w:t xml:space="preserve">DriveData para Unilever  ·  Confidencial  ·  Página </w:t>
    </w:r>
    <w:r>
      <w:rPr>
        <w:rFonts w:ascii="Calibri" w:cs="Calibri" w:eastAsia="Calibri" w:hAnsi="Calibri"/>
        <w:color w:val="9AA3B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9AA3B6"/>
        <w:sz w:val="16"/>
        <w:szCs w:val="16"/>
      </w:rPr>
      <w:t xml:space="preserve">Passaporte de Segurança · Escopo Funcional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ebdd92405d48759b13ecf03a06e4e929918453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Escopo — Passaporte de Segurança — Unilever</dc:title>
  <dc:creator>DriveData</dc:creator>
  <cp:lastModifiedBy>Un-named</cp:lastModifiedBy>
  <cp:revision>1</cp:revision>
  <dcterms:created xsi:type="dcterms:W3CDTF">2026-08-28T21:16:01.302Z</dcterms:created>
  <dcterms:modified xsi:type="dcterms:W3CDTF">2026-08-28T21:16:01.302Z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