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720"/>
        <w:jc w:val="center"/>
      </w:pPr>
      <w:r>
        <w:rPr>
          <w:rFonts w:ascii="Arial" w:hAnsi="Arial"/>
          <w:b/>
          <w:sz w:val="28"/>
        </w:rPr>
        <w:t>AN ANALYSIS OF QKD BB84 PROTOCOL IMPLEMENTATION OVER REAL IBM QUANTUM PROCESSORS VS. SIMULATION (UMA ANÁLISE DA IMPLEMENTAÇÃO DO PROTOCOLO QKD BB84 EM PROCESSADORES QUÂNTICOS REAIS IBM VS. SIMULAÇÃO)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INTRODUÇÃO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A base da segurança da informação moderna está ancorada em problemas matemáticos complexos. Protocolos clássicos, como o RSA, confiam inteiramente na extrema dificuldade computacional de fatorar grandes números primos. O problema real surge com a iminência da computação quântica de larga escala: algoritmos como o de Shor provam matematicamente que computadores quânticos poderão quebrar essas chaves em tempo polinomial. É para solucionar essa vulnerabilidade fatal que a Distribuição de Chaves Quânticas (QKD - Quantum Key Distribution) ganha destaque. Em vez de depender de complexidade matemática, a QKD utiliza as leis fundamentais da física quântica para garantir uma segurança incondicional.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Este trabalho tem como objetivo central reproduzir e analisar a implementação proposta no artigo "An Analysis of QKD BB84 Protocol Implementation over Real IBM Quantum Processors vs. Simulation", de Saeed et al. (2023). Nossa proposta é demonstrar, na prática, como ocorre a troca de chaves criptográficas utilizando o protocolo BB84 e evidenciar como a presença de um interceptador (Eve) é naturalmente detectada pelo colapso da função de onda.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METODOLOGIA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Para colocar o experimento em prática e responder às questões estruturais da pesquisa, adotamos o ecossistema da IBM. Toda a nossa implementação foi desenvolvida na linguagem Python, utilizando o framework Qiskit, dispensando o uso de interfaces visuais arrastar-e-soltar, a fim de termos controle total sobre as lógicas de automação e medição.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O circuito base utilizado no experimento consiste em um registro de 4 qubits. O protocolo BB84 foi programado simulando três entidades: Alice (emissora), Bob (receptor) e Eve (espiã).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823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circuito_bb84_b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8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1: Diagrama do circuito quântico base de 4 qubits gerado via Qiskit.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Para testar a resiliência do modelo, rodamos o experimento em múltiplos cenários, simulando o hardware perfeito e o processador quântico real da IBM Cloud com modelos de ruído NISQ. Para a nossa Nova Proposta, desenvolvemos um ataque tático onde Eve intercepta apenas 50% da transmissão (apenas nas linhas q0 e q1).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52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a_circuito_nossa_propos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5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2: Diagrama do circuito evidenciando a interceptação parcial (Ataque nas linhas 0 e 1).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RESULTADOS E DISCUSSÃO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Ao executar nosso código no simulador clássico sem qualquer interferência externa, o comportamento da distribuição de chaves foi perfeito. A probabilidade de leitura correta do estado foi cravada em 100%.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imulador_ide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3: Cenário 1 - Distribuição de probabilidade perfeita em ambiente simulado ideal.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O cenário muda drasticamente quando forçamos a inserção de "Eve" no código com interceptação total. Devido ao Teorema da Não-Clonagem da mecânica quântica, a taxa de erro saltou de 0% para aproximadamente 25% (Quantum Bit Error Rate - QBER).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imulador_eve_tot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4: Cenário 2 - Colapso da função de onda após ataque de força bruta total de Eve.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Ao analisar o paralelismo com os dados do processador quântico real (hardware NISQ), observamos um desafio prático: a máquina real introduz erros próprios devido à decoerência quântica, gerando um ruído térmico constante sem a presença de espiões.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ardware_natur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5: Cenário 3 - Ruído natural e decoerência introduzidos pelo hardware físico.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Quando executamos a Nossa Proposta (Ataque Parcial), o erro da intrusão misturou-se perfeitamente ao ruído natural da máquina.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hardware_ataque_parci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6: Cenário 4 - Nossa Proposta de Ataque Parcial no hardware da IBM (Qiskit).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Para garantir a validade científica do ataque, aplicamos validação cruzada recriando a mesma arquitetura de intrusão no ecossistema de software da Google (Cirq), obtendo resultados compatíveis.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oogle_cirq_parci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7: Cenário 5 - Nossa Proposta validada de forma cruzada no simulador Google Cirq.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O gráfico final sumariza o impacto do QBER em cada etapa, comprovando nossa tese central de camuflagem do ataque em ambientes NISQ.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iferencas_qb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Arial" w:hAnsi="Arial"/>
          <w:sz w:val="20"/>
        </w:rPr>
        <w:t>Figura 8: Comparativo de Erro (QBER) demonstrando a camuflagem do Ataque Parcial no ruído NISQ.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CONCLUSÃO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Fica claro que o protocolo BB84 é perfeitamente executável por meio de frameworks modernos. Conseguimos resolver o problema central da distribuição segura de chaves, provando que a própria física atua como o sistema de alarme contra interceptações pesadas.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Entretanto, o ruído intrínseco aos computadores quânticos de escala intermediária (NISQ) atuais cria um desafio de engenharia: as taxas de erro naturais do hardware muitas vezes se misturam à margem de erro gerada por ataques parciais, exigindo protocolos robustos de correção de erro clássica.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REFERÊNCIAS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SAEED, M. H.; SATTAR, H.; DURAD, M. H.; HAIDER, Z. An Analysis of QKD BB84 Protocol Implementation over Real IBM Quantum Processors vs. Simulation. IEEE, 2023.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BENNETT, C. H.; BRASSARD, G. Quantum cryptography: Public key distribution and coin tossing. Proceedings of IEEE International Conference on Computers, Systems and Signal Processing, 1984.</w:t>
      </w:r>
    </w:p>
    <w:p>
      <w:pPr>
        <w:spacing w:after="0" w:line="240" w:lineRule="auto"/>
        <w:ind w:firstLine="706"/>
        <w:jc w:val="both"/>
      </w:pPr>
      <w:r>
        <w:rPr>
          <w:rFonts w:ascii="Arial" w:hAnsi="Arial"/>
          <w:sz w:val="24"/>
        </w:rPr>
        <w:t>WOOTTERS, W. K.; ZUREK, W. H. A single quantum cannot be cloned. Nature, vol. 299, no. 5886, pp. 802-803, 1982.</w:t>
      </w:r>
    </w:p>
    <w:sectPr w:rsidR="007C7991" w:rsidRPr="0011531E" w:rsidSect="0011531E">
      <w:headerReference w:type="default" r:id="rId16"/>
      <w:footerReference w:type="default" r:id="rId17"/>
      <w:pgSz w:w="11906" w:h="16838"/>
      <w:pgMar w:top="1702" w:right="1134" w:bottom="1134" w:left="85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0E2D9" w14:textId="77777777" w:rsidR="009D0A91" w:rsidRDefault="009D0A91">
      <w:r>
        <w:separator/>
      </w:r>
    </w:p>
  </w:endnote>
  <w:endnote w:type="continuationSeparator" w:id="0">
    <w:p w14:paraId="1ED0E2DB" w14:textId="77777777" w:rsidR="009D0A91" w:rsidRDefault="009D0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86CBF11-A7B0-4DF6-AF05-2D8447FA64B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2" w:fontKey="{602E53D2-1B14-42E8-B921-B62674B30A78}"/>
    <w:embedItalic r:id="rId3" w:fontKey="{7E76AC2A-2A72-47BF-822B-F409ED56281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AA091EAB-F38A-41E4-A52A-8A70ACA876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1C2DB00-F2B9-496E-B6DE-8595275169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14E46C8-0F43-48A2-9795-5DD606EE84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0E2D4" w14:textId="77777777" w:rsidR="007C7991" w:rsidRDefault="009D0A9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left"/>
      <w:rPr>
        <w:color w:val="000000"/>
        <w:sz w:val="2"/>
        <w:szCs w:val="2"/>
      </w:rPr>
    </w:pPr>
    <w:r>
      <w:rPr>
        <w:noProof/>
        <w:sz w:val="2"/>
        <w:szCs w:val="2"/>
      </w:rPr>
      <w:drawing>
        <wp:inline distT="114300" distB="114300" distL="114300" distR="114300" wp14:anchorId="1ED0E2D7" wp14:editId="7D830B2A">
          <wp:extent cx="6374765" cy="715643"/>
          <wp:effectExtent l="0" t="0" r="0" b="8890"/>
          <wp:docPr id="1518250049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590755" cy="739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0E2D5" w14:textId="77777777" w:rsidR="009D0A91" w:rsidRDefault="009D0A91">
      <w:r>
        <w:separator/>
      </w:r>
    </w:p>
  </w:footnote>
  <w:footnote w:type="continuationSeparator" w:id="0">
    <w:p w14:paraId="1ED0E2D7" w14:textId="77777777" w:rsidR="009D0A91" w:rsidRDefault="009D0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0E2D2" w14:textId="77777777" w:rsidR="007C7991" w:rsidRDefault="007C799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2"/>
        <w:szCs w:val="2"/>
      </w:rPr>
    </w:pPr>
  </w:p>
  <w:p w14:paraId="1ED0E2D3" w14:textId="77777777" w:rsidR="007C7991" w:rsidRDefault="009D0A91" w:rsidP="00EB67A7">
    <w:pPr>
      <w:tabs>
        <w:tab w:val="center" w:pos="4252"/>
        <w:tab w:val="right" w:pos="8504"/>
      </w:tabs>
      <w:ind w:left="-851"/>
      <w:rPr>
        <w:color w:val="000000"/>
        <w:sz w:val="2"/>
        <w:szCs w:val="2"/>
      </w:rPr>
    </w:pPr>
    <w:r>
      <w:rPr>
        <w:noProof/>
        <w:sz w:val="2"/>
        <w:szCs w:val="2"/>
      </w:rPr>
      <w:drawing>
        <wp:inline distT="114300" distB="114300" distL="114300" distR="114300" wp14:anchorId="1ED0E2D5" wp14:editId="4205A8C7">
          <wp:extent cx="7539491" cy="1082040"/>
          <wp:effectExtent l="0" t="0" r="4445" b="3810"/>
          <wp:docPr id="182245104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59273" cy="109923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7F1703"/>
    <w:multiLevelType w:val="multilevel"/>
    <w:tmpl w:val="EE18B8E0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644" w:hanging="359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6C25217B"/>
    <w:multiLevelType w:val="multilevel"/>
    <w:tmpl w:val="6528395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45991238">
    <w:abstractNumId w:val="0"/>
  </w:num>
  <w:num w:numId="2" w16cid:durableId="1436900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991"/>
    <w:rsid w:val="00101E66"/>
    <w:rsid w:val="0011531E"/>
    <w:rsid w:val="00313365"/>
    <w:rsid w:val="007C7991"/>
    <w:rsid w:val="009D0A91"/>
    <w:rsid w:val="00EB6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0E221"/>
  <w15:docId w15:val="{BDC960CA-A285-4B69-8B35-FA9467E6E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1C8"/>
  </w:style>
  <w:style w:type="paragraph" w:styleId="Ttulo1">
    <w:name w:val="heading 1"/>
    <w:basedOn w:val="Normal"/>
    <w:next w:val="Normal"/>
    <w:uiPriority w:val="9"/>
    <w:qFormat/>
    <w:rsid w:val="004671C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4671C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4671C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4671C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4671C8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4671C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4671C8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rsid w:val="004671C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rsid w:val="004671C8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713B93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E4DB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E4DBD"/>
  </w:style>
  <w:style w:type="paragraph" w:styleId="Rodap">
    <w:name w:val="footer"/>
    <w:basedOn w:val="Normal"/>
    <w:link w:val="RodapChar"/>
    <w:uiPriority w:val="99"/>
    <w:unhideWhenUsed/>
    <w:rsid w:val="00CE4DB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E4DBD"/>
  </w:style>
  <w:style w:type="paragraph" w:styleId="Textodebalo">
    <w:name w:val="Balloon Text"/>
    <w:basedOn w:val="Normal"/>
    <w:link w:val="TextodebaloChar"/>
    <w:uiPriority w:val="99"/>
    <w:semiHidden/>
    <w:unhideWhenUsed/>
    <w:rsid w:val="0035277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5277E"/>
    <w:rPr>
      <w:rFonts w:ascii="Tahoma" w:hAnsi="Tahoma" w:cs="Tahoma"/>
      <w:sz w:val="16"/>
      <w:szCs w:val="16"/>
    </w:rPr>
  </w:style>
  <w:style w:type="character" w:customStyle="1" w:styleId="LinkdaInternet">
    <w:name w:val="Link da Internet"/>
    <w:uiPriority w:val="99"/>
    <w:unhideWhenUsed/>
    <w:rsid w:val="006D3096"/>
    <w:rPr>
      <w:color w:val="0000FF"/>
      <w:u w:val="single"/>
    </w:rPr>
  </w:style>
  <w:style w:type="paragraph" w:customStyle="1" w:styleId="Legenda1">
    <w:name w:val="Legenda1"/>
    <w:basedOn w:val="Normal"/>
    <w:next w:val="Normal"/>
    <w:qFormat/>
    <w:rsid w:val="006D3096"/>
    <w:pPr>
      <w:suppressAutoHyphens/>
      <w:spacing w:before="120" w:after="120"/>
      <w:jc w:val="left"/>
    </w:pPr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6D3096"/>
    <w:rPr>
      <w:color w:val="0000FF" w:themeColor="hyperlink"/>
      <w:u w:val="single"/>
    </w:r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://www.abenge.org.br/cobenge/arquivos/5/Artigos/129294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aude.estadao.com.br/noticias/geral,oms-inclui-a-sindrome-de-burnout-na-lista-de-doencas,70002845142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ntheon.ufrj.br/handle/11422/1016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about:blank" TargetMode="External"/><Relationship Id="rId10" Type="http://schemas.openxmlformats.org/officeDocument/2006/relationships/image" Target="media/image2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about:blank" TargetMode="External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ilH8bRdUsziqJKjoowCWqaGTiw==">CgMxLjAyCGguZ2pkZ3hzOAByITEyVVc1bzVxWnFmMnBDM1lBMER3ZE1fdk4tSWJLNEExUQ==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1953</Words>
  <Characters>10551</Characters>
  <Application>Microsoft Office Word</Application>
  <DocSecurity>0</DocSecurity>
  <Lines>87</Lines>
  <Paragraphs>24</Paragraphs>
  <ScaleCrop>false</ScaleCrop>
  <Company/>
  <LinksUpToDate>false</LinksUpToDate>
  <CharactersWithSpaces>12480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Regina D. Silva Pereira</dc:creator>
  <cp:lastModifiedBy>Elaine Santana  Silva</cp:lastModifiedBy>
  <cp:revision>5</cp:revision>
  <dcterms:created xsi:type="dcterms:W3CDTF">2025-02-16T17:01:00Z</dcterms:created>
  <dcterms:modified xsi:type="dcterms:W3CDTF">2025-03-11T19:25:00Z</dcterms:modified>
</cp:coreProperties>
</file>