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0E221" w14:textId="77777777" w:rsidR="007C7991" w:rsidRDefault="007C7991" w:rsidP="0011531E">
      <w:pPr>
        <w:tabs>
          <w:tab w:val="left" w:pos="709"/>
        </w:tabs>
        <w:ind w:left="1134" w:right="1134"/>
        <w:jc w:val="center"/>
        <w:rPr>
          <w:b/>
          <w:color w:val="000000"/>
          <w:sz w:val="28"/>
          <w:szCs w:val="28"/>
        </w:rPr>
      </w:pPr>
    </w:p>
    <w:p w14:paraId="1ED0E222" w14:textId="77777777" w:rsidR="007C7991" w:rsidRDefault="009D0A91">
      <w:pPr>
        <w:tabs>
          <w:tab w:val="left" w:pos="709"/>
        </w:tabs>
        <w:jc w:val="center"/>
        <w:rPr>
          <w:b/>
          <w:color w:val="000000"/>
          <w:sz w:val="28"/>
          <w:szCs w:val="28"/>
        </w:rPr>
      </w:pPr>
      <w:r>
        <w:rPr>
          <w:b/>
          <w:color w:val="000000"/>
          <w:sz w:val="28"/>
          <w:szCs w:val="28"/>
        </w:rPr>
        <w:t>TÍTULO DO TRABALHO</w:t>
      </w:r>
    </w:p>
    <w:p w14:paraId="1ED0E223" w14:textId="77777777" w:rsidR="007C7991" w:rsidRDefault="007C7991">
      <w:pPr>
        <w:tabs>
          <w:tab w:val="left" w:pos="709"/>
        </w:tabs>
        <w:rPr>
          <w:sz w:val="24"/>
          <w:szCs w:val="24"/>
        </w:rPr>
      </w:pPr>
    </w:p>
    <w:p w14:paraId="1ED0E224" w14:textId="77777777" w:rsidR="007C7991" w:rsidRDefault="009D0A91">
      <w:pPr>
        <w:tabs>
          <w:tab w:val="left" w:pos="709"/>
        </w:tabs>
        <w:rPr>
          <w:sz w:val="24"/>
          <w:szCs w:val="24"/>
        </w:rPr>
      </w:pPr>
      <w:r>
        <w:rPr>
          <w:noProof/>
        </w:rPr>
        <mc:AlternateContent>
          <mc:Choice Requires="wps">
            <w:drawing>
              <wp:anchor distT="0" distB="0" distL="114300" distR="114300" simplePos="0" relativeHeight="251658240" behindDoc="0" locked="0" layoutInCell="1" hidden="0" allowOverlap="1" wp14:anchorId="1ED0E2CC" wp14:editId="1ED0E2CD">
                <wp:simplePos x="0" y="0"/>
                <wp:positionH relativeFrom="column">
                  <wp:posOffset>1</wp:posOffset>
                </wp:positionH>
                <wp:positionV relativeFrom="paragraph">
                  <wp:posOffset>0</wp:posOffset>
                </wp:positionV>
                <wp:extent cx="1270" cy="25550"/>
                <wp:effectExtent l="0" t="0" r="0" b="0"/>
                <wp:wrapNone/>
                <wp:docPr id="880687369" name="Conector de Seta Reta 880687369"/>
                <wp:cNvGraphicFramePr/>
                <a:graphic xmlns:a="http://schemas.openxmlformats.org/drawingml/2006/main">
                  <a:graphicData uri="http://schemas.microsoft.com/office/word/2010/wordprocessingShape">
                    <wps:wsp>
                      <wps:cNvCnPr/>
                      <wps:spPr>
                        <a:xfrm>
                          <a:off x="2316733" y="3779365"/>
                          <a:ext cx="6058535" cy="1270"/>
                        </a:xfrm>
                        <a:prstGeom prst="straightConnector1">
                          <a:avLst/>
                        </a:prstGeom>
                        <a:noFill/>
                        <a:ln w="25550" cap="flat" cmpd="sng">
                          <a:solidFill>
                            <a:srgbClr val="95B3D7"/>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1270" cy="25550"/>
                <wp:effectExtent b="0" l="0" r="0" t="0"/>
                <wp:wrapNone/>
                <wp:docPr id="88068736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1270" cy="25550"/>
                        </a:xfrm>
                        <a:prstGeom prst="rect"/>
                        <a:ln/>
                      </pic:spPr>
                    </pic:pic>
                  </a:graphicData>
                </a:graphic>
              </wp:anchor>
            </w:drawing>
          </mc:Fallback>
        </mc:AlternateContent>
      </w:r>
    </w:p>
    <w:p w14:paraId="1ED0E225" w14:textId="77777777" w:rsidR="007C7991" w:rsidRDefault="009D0A91">
      <w:pPr>
        <w:tabs>
          <w:tab w:val="left" w:pos="709"/>
        </w:tabs>
        <w:jc w:val="center"/>
        <w:rPr>
          <w:b/>
          <w:color w:val="4F81BD"/>
          <w:sz w:val="24"/>
          <w:szCs w:val="24"/>
        </w:rPr>
      </w:pPr>
      <w:r>
        <w:rPr>
          <w:b/>
          <w:color w:val="4F81BD"/>
          <w:sz w:val="24"/>
          <w:szCs w:val="24"/>
        </w:rPr>
        <w:t>INSTRUÇÕES PARA A PREPARAÇÃO E SUBMISSÃO DE TRABALHOS</w:t>
      </w:r>
      <w:r>
        <w:rPr>
          <w:b/>
          <w:color w:val="4F81BD"/>
          <w:sz w:val="24"/>
          <w:szCs w:val="24"/>
        </w:rPr>
        <w:br/>
        <w:t>À COMISSÃO CIENTÍFICA DO 53º CONGRESSO BRASILEIRO DE</w:t>
      </w:r>
      <w:r>
        <w:rPr>
          <w:b/>
          <w:color w:val="4F81BD"/>
          <w:sz w:val="24"/>
          <w:szCs w:val="24"/>
        </w:rPr>
        <w:br/>
      </w:r>
      <w:r>
        <w:rPr>
          <w:b/>
          <w:color w:val="4F81BD"/>
          <w:sz w:val="24"/>
          <w:szCs w:val="24"/>
        </w:rPr>
        <w:t>EDUCAÇÃO EM ENGENHARIA E VIII SIMPÓSIO INTERNACIONAL DE EDUCAÇÃO EM ENGENHARIA – COBENGE 2025</w:t>
      </w:r>
    </w:p>
    <w:p w14:paraId="1ED0E226" w14:textId="77777777" w:rsidR="007C7991" w:rsidRDefault="007C7991">
      <w:pPr>
        <w:tabs>
          <w:tab w:val="left" w:pos="709"/>
        </w:tabs>
        <w:rPr>
          <w:strike/>
          <w:color w:val="984806"/>
          <w:sz w:val="24"/>
          <w:szCs w:val="24"/>
        </w:rPr>
      </w:pPr>
    </w:p>
    <w:p w14:paraId="1ED0E227" w14:textId="77777777" w:rsidR="007C7991" w:rsidRDefault="009D0A91">
      <w:pPr>
        <w:numPr>
          <w:ilvl w:val="0"/>
          <w:numId w:val="2"/>
        </w:numPr>
        <w:pBdr>
          <w:top w:val="nil"/>
          <w:left w:val="nil"/>
          <w:bottom w:val="nil"/>
          <w:right w:val="nil"/>
          <w:between w:val="nil"/>
        </w:pBdr>
        <w:tabs>
          <w:tab w:val="left" w:pos="709"/>
        </w:tabs>
        <w:rPr>
          <w:color w:val="0070C0"/>
          <w:sz w:val="24"/>
          <w:szCs w:val="24"/>
        </w:rPr>
      </w:pPr>
      <w:r>
        <w:rPr>
          <w:b/>
          <w:color w:val="0070C0"/>
          <w:sz w:val="24"/>
          <w:szCs w:val="24"/>
        </w:rPr>
        <w:t>Observe as instruções e formate seu artigo de acordo com este padrão (</w:t>
      </w:r>
      <w:proofErr w:type="spellStart"/>
      <w:r>
        <w:rPr>
          <w:b/>
          <w:i/>
          <w:color w:val="0070C0"/>
          <w:sz w:val="24"/>
          <w:szCs w:val="24"/>
        </w:rPr>
        <w:t>template</w:t>
      </w:r>
      <w:proofErr w:type="spellEnd"/>
      <w:r>
        <w:rPr>
          <w:b/>
          <w:color w:val="0070C0"/>
          <w:sz w:val="24"/>
          <w:szCs w:val="24"/>
        </w:rPr>
        <w:t>)</w:t>
      </w:r>
      <w:r>
        <w:rPr>
          <w:color w:val="0070C0"/>
          <w:sz w:val="24"/>
          <w:szCs w:val="24"/>
        </w:rPr>
        <w:t xml:space="preserve">. Recomenda-se, para isso, o uso dos estilos de formatação definidos neste documento: </w:t>
      </w:r>
      <w:r>
        <w:rPr>
          <w:b/>
          <w:color w:val="FF0000"/>
          <w:sz w:val="24"/>
          <w:szCs w:val="24"/>
        </w:rPr>
        <w:t xml:space="preserve">basta copiar e colar o seu texto diretamente em uma cópia deste </w:t>
      </w:r>
      <w:proofErr w:type="spellStart"/>
      <w:r>
        <w:rPr>
          <w:b/>
          <w:i/>
          <w:color w:val="FF0000"/>
          <w:sz w:val="24"/>
          <w:szCs w:val="24"/>
        </w:rPr>
        <w:t>template</w:t>
      </w:r>
      <w:proofErr w:type="spellEnd"/>
      <w:r>
        <w:rPr>
          <w:color w:val="FF0000"/>
          <w:sz w:val="24"/>
          <w:szCs w:val="24"/>
        </w:rPr>
        <w:t xml:space="preserve"> </w:t>
      </w:r>
      <w:r>
        <w:rPr>
          <w:color w:val="0070C0"/>
          <w:sz w:val="24"/>
          <w:szCs w:val="24"/>
        </w:rPr>
        <w:t xml:space="preserve">e de acordo com as seções. O </w:t>
      </w:r>
      <w:r>
        <w:rPr>
          <w:b/>
          <w:color w:val="0070C0"/>
          <w:sz w:val="24"/>
          <w:szCs w:val="24"/>
        </w:rPr>
        <w:t>arquivo não deve ultrapassar 12 (doze) páginas e deve ser submetido em formato PDF</w:t>
      </w:r>
      <w:r>
        <w:rPr>
          <w:color w:val="0070C0"/>
          <w:sz w:val="24"/>
          <w:szCs w:val="24"/>
        </w:rPr>
        <w:t xml:space="preserve">. Lembre-se de que o uso adequado da linguagem é indispensável para a boa avaliação. O trabalho deve atender à temática da Educação em Engenharia. </w:t>
      </w:r>
    </w:p>
    <w:p w14:paraId="1ED0E228" w14:textId="77777777" w:rsidR="007C7991" w:rsidRDefault="007C7991">
      <w:pPr>
        <w:tabs>
          <w:tab w:val="left" w:pos="709"/>
        </w:tabs>
        <w:rPr>
          <w:color w:val="0070C0"/>
          <w:sz w:val="24"/>
          <w:szCs w:val="24"/>
        </w:rPr>
      </w:pPr>
    </w:p>
    <w:p w14:paraId="1ED0E229" w14:textId="77777777" w:rsidR="007C7991" w:rsidRDefault="009D0A91">
      <w:pPr>
        <w:numPr>
          <w:ilvl w:val="0"/>
          <w:numId w:val="2"/>
        </w:numPr>
        <w:pBdr>
          <w:top w:val="nil"/>
          <w:left w:val="nil"/>
          <w:bottom w:val="nil"/>
          <w:right w:val="nil"/>
          <w:between w:val="nil"/>
        </w:pBdr>
        <w:tabs>
          <w:tab w:val="left" w:pos="709"/>
        </w:tabs>
        <w:rPr>
          <w:color w:val="0070C0"/>
          <w:sz w:val="24"/>
          <w:szCs w:val="24"/>
        </w:rPr>
      </w:pPr>
      <w:r>
        <w:rPr>
          <w:b/>
          <w:color w:val="FF0000"/>
          <w:sz w:val="24"/>
          <w:szCs w:val="24"/>
        </w:rPr>
        <w:t>Não inserir informações dos autores e afiliações, resumo e palavras-chave no corpo do trabalho.</w:t>
      </w:r>
      <w:r>
        <w:rPr>
          <w:color w:val="FF0000"/>
          <w:sz w:val="24"/>
          <w:szCs w:val="24"/>
        </w:rPr>
        <w:t xml:space="preserve"> </w:t>
      </w:r>
      <w:r>
        <w:rPr>
          <w:color w:val="0070C0"/>
          <w:sz w:val="24"/>
          <w:szCs w:val="24"/>
        </w:rPr>
        <w:t xml:space="preserve">Essas informações devem ser inseridas somente no formulário </w:t>
      </w:r>
      <w:r>
        <w:rPr>
          <w:i/>
          <w:color w:val="0070C0"/>
          <w:sz w:val="24"/>
          <w:szCs w:val="24"/>
        </w:rPr>
        <w:t>online</w:t>
      </w:r>
      <w:r>
        <w:rPr>
          <w:color w:val="0070C0"/>
          <w:sz w:val="24"/>
          <w:szCs w:val="24"/>
        </w:rPr>
        <w:t xml:space="preserve"> de submissão.</w:t>
      </w:r>
    </w:p>
    <w:p w14:paraId="1ED0E22A" w14:textId="77777777" w:rsidR="007C7991" w:rsidRDefault="007C7991">
      <w:pPr>
        <w:tabs>
          <w:tab w:val="left" w:pos="709"/>
        </w:tabs>
        <w:rPr>
          <w:color w:val="0070C0"/>
          <w:sz w:val="24"/>
          <w:szCs w:val="24"/>
        </w:rPr>
      </w:pPr>
    </w:p>
    <w:p w14:paraId="1ED0E22B" w14:textId="77777777" w:rsidR="007C7991" w:rsidRDefault="009D0A91">
      <w:pPr>
        <w:numPr>
          <w:ilvl w:val="0"/>
          <w:numId w:val="2"/>
        </w:numPr>
        <w:pBdr>
          <w:top w:val="nil"/>
          <w:left w:val="nil"/>
          <w:bottom w:val="nil"/>
          <w:right w:val="nil"/>
          <w:between w:val="nil"/>
        </w:pBdr>
        <w:tabs>
          <w:tab w:val="left" w:pos="709"/>
        </w:tabs>
        <w:rPr>
          <w:color w:val="0070C0"/>
          <w:sz w:val="24"/>
          <w:szCs w:val="24"/>
        </w:rPr>
      </w:pPr>
      <w:r>
        <w:rPr>
          <w:color w:val="0070C0"/>
          <w:sz w:val="24"/>
          <w:szCs w:val="24"/>
        </w:rPr>
        <w:t>Não será permitida a inclusão ou exclusão de autores após o término do prazo de submissão.</w:t>
      </w:r>
    </w:p>
    <w:p w14:paraId="1ED0E22C" w14:textId="77777777" w:rsidR="007C7991" w:rsidRDefault="007C7991">
      <w:pPr>
        <w:tabs>
          <w:tab w:val="left" w:pos="709"/>
        </w:tabs>
        <w:rPr>
          <w:color w:val="0070C0"/>
          <w:sz w:val="24"/>
          <w:szCs w:val="24"/>
        </w:rPr>
      </w:pPr>
    </w:p>
    <w:p w14:paraId="1ED0E22D" w14:textId="77777777" w:rsidR="007C7991" w:rsidRDefault="009D0A91">
      <w:pPr>
        <w:numPr>
          <w:ilvl w:val="0"/>
          <w:numId w:val="2"/>
        </w:numPr>
        <w:pBdr>
          <w:top w:val="nil"/>
          <w:left w:val="nil"/>
          <w:bottom w:val="nil"/>
          <w:right w:val="nil"/>
          <w:between w:val="nil"/>
        </w:pBdr>
        <w:tabs>
          <w:tab w:val="left" w:pos="709"/>
        </w:tabs>
        <w:rPr>
          <w:color w:val="0070C0"/>
          <w:sz w:val="24"/>
          <w:szCs w:val="24"/>
        </w:rPr>
      </w:pPr>
      <w:r>
        <w:rPr>
          <w:b/>
          <w:color w:val="FF0000"/>
          <w:sz w:val="24"/>
          <w:szCs w:val="24"/>
        </w:rPr>
        <w:t>Trabalhos fora dos padrões de formatação estabelecidos serão rejeitados.</w:t>
      </w:r>
      <w:r>
        <w:rPr>
          <w:color w:val="0070C0"/>
          <w:sz w:val="24"/>
          <w:szCs w:val="24"/>
        </w:rPr>
        <w:t xml:space="preserve"> </w:t>
      </w:r>
    </w:p>
    <w:p w14:paraId="1ED0E22E" w14:textId="77777777" w:rsidR="007C7991" w:rsidRDefault="007C7991">
      <w:pPr>
        <w:tabs>
          <w:tab w:val="left" w:pos="709"/>
        </w:tabs>
        <w:rPr>
          <w:color w:val="0070C0"/>
          <w:sz w:val="24"/>
          <w:szCs w:val="24"/>
        </w:rPr>
      </w:pPr>
    </w:p>
    <w:p w14:paraId="1ED0E22F" w14:textId="77777777" w:rsidR="007C7991" w:rsidRDefault="009D0A91">
      <w:pPr>
        <w:tabs>
          <w:tab w:val="left" w:pos="709"/>
        </w:tabs>
        <w:jc w:val="center"/>
        <w:rPr>
          <w:color w:val="0070C0"/>
          <w:sz w:val="24"/>
          <w:szCs w:val="24"/>
        </w:rPr>
      </w:pPr>
      <w:r>
        <w:rPr>
          <w:color w:val="0070C0"/>
          <w:sz w:val="24"/>
          <w:szCs w:val="24"/>
        </w:rPr>
        <w:t>(RETIRAR O TEXTO ACIMA PARA A SUBMISSÃO DO SEU TRABALHO)</w:t>
      </w:r>
    </w:p>
    <w:p w14:paraId="1ED0E230" w14:textId="77777777" w:rsidR="007C7991" w:rsidRDefault="007C7991">
      <w:pPr>
        <w:tabs>
          <w:tab w:val="left" w:pos="709"/>
        </w:tabs>
        <w:rPr>
          <w:sz w:val="24"/>
          <w:szCs w:val="24"/>
        </w:rPr>
      </w:pPr>
    </w:p>
    <w:p w14:paraId="1ED0E231" w14:textId="77777777" w:rsidR="007C7991" w:rsidRDefault="007C7991">
      <w:pPr>
        <w:tabs>
          <w:tab w:val="left" w:pos="709"/>
        </w:tabs>
        <w:rPr>
          <w:sz w:val="24"/>
          <w:szCs w:val="24"/>
        </w:rPr>
      </w:pPr>
    </w:p>
    <w:p w14:paraId="1ED0E232" w14:textId="77777777" w:rsidR="007C7991" w:rsidRDefault="009D0A91">
      <w:pPr>
        <w:keepNext/>
        <w:numPr>
          <w:ilvl w:val="0"/>
          <w:numId w:val="1"/>
        </w:numPr>
        <w:tabs>
          <w:tab w:val="left" w:pos="709"/>
        </w:tabs>
        <w:spacing w:after="240"/>
        <w:ind w:left="0" w:firstLine="709"/>
        <w:jc w:val="left"/>
        <w:rPr>
          <w:b/>
          <w:smallCaps/>
          <w:color w:val="000000"/>
          <w:sz w:val="24"/>
          <w:szCs w:val="24"/>
        </w:rPr>
      </w:pPr>
      <w:r>
        <w:rPr>
          <w:b/>
          <w:smallCaps/>
          <w:color w:val="000000"/>
          <w:sz w:val="24"/>
          <w:szCs w:val="24"/>
        </w:rPr>
        <w:t>INTRODUÇÃO</w:t>
      </w:r>
    </w:p>
    <w:p w14:paraId="1ED0E233" w14:textId="77777777" w:rsidR="007C7991" w:rsidRDefault="009D0A91">
      <w:pPr>
        <w:tabs>
          <w:tab w:val="left" w:pos="709"/>
        </w:tabs>
        <w:rPr>
          <w:sz w:val="24"/>
          <w:szCs w:val="24"/>
        </w:rPr>
      </w:pPr>
      <w:r>
        <w:rPr>
          <w:sz w:val="24"/>
          <w:szCs w:val="24"/>
        </w:rPr>
        <w:tab/>
        <w:t>Os Anais do COBENGE 2025 serão publicados incluindo a versão completa de todos os trabalhos aprovados e com a inscrição paga de pelo menos um dos autores no evento. É, portanto, extremamente importante que o preparo da versão digital de sua contribuição esteja de acordo com estas instruções.</w:t>
      </w:r>
    </w:p>
    <w:p w14:paraId="1ED0E234" w14:textId="77777777" w:rsidR="007C7991" w:rsidRDefault="009D0A91">
      <w:pPr>
        <w:tabs>
          <w:tab w:val="left" w:pos="709"/>
        </w:tabs>
        <w:rPr>
          <w:sz w:val="24"/>
          <w:szCs w:val="24"/>
        </w:rPr>
      </w:pPr>
      <w:r>
        <w:rPr>
          <w:sz w:val="24"/>
          <w:szCs w:val="24"/>
        </w:rPr>
        <w:tab/>
      </w:r>
      <w:r>
        <w:rPr>
          <w:sz w:val="24"/>
          <w:szCs w:val="24"/>
        </w:rPr>
        <w:t>Os Coordenadores de Área, designados pela Comissão Científica do COBENGE 2023, terão à sua disposição cópias eletrônicas de cada trabalho no sistema do evento, para a sua correspondente revisão por especialistas.</w:t>
      </w:r>
    </w:p>
    <w:p w14:paraId="1ED0E235" w14:textId="77777777" w:rsidR="007C7991" w:rsidRDefault="009D0A91">
      <w:pPr>
        <w:keepNext/>
        <w:numPr>
          <w:ilvl w:val="0"/>
          <w:numId w:val="1"/>
        </w:numPr>
        <w:tabs>
          <w:tab w:val="left" w:pos="709"/>
        </w:tabs>
        <w:spacing w:before="240" w:after="240"/>
        <w:ind w:left="0" w:firstLine="709"/>
        <w:jc w:val="left"/>
        <w:rPr>
          <w:b/>
          <w:smallCaps/>
          <w:color w:val="000000"/>
          <w:sz w:val="24"/>
          <w:szCs w:val="24"/>
        </w:rPr>
      </w:pPr>
      <w:r>
        <w:rPr>
          <w:b/>
          <w:smallCaps/>
          <w:color w:val="000000"/>
          <w:sz w:val="24"/>
          <w:szCs w:val="24"/>
        </w:rPr>
        <w:t>INSTRUÇÕES PARA DIGITAÇÃO</w:t>
      </w:r>
    </w:p>
    <w:p w14:paraId="1ED0E236" w14:textId="77777777" w:rsidR="007C7991" w:rsidRDefault="009D0A91">
      <w:pPr>
        <w:tabs>
          <w:tab w:val="left" w:pos="709"/>
        </w:tabs>
        <w:rPr>
          <w:sz w:val="24"/>
          <w:szCs w:val="24"/>
        </w:rPr>
      </w:pPr>
      <w:r>
        <w:rPr>
          <w:sz w:val="24"/>
          <w:szCs w:val="24"/>
        </w:rPr>
        <w:tab/>
        <w:t>A tradução para o inglês do título, do resumo (</w:t>
      </w:r>
      <w:r>
        <w:rPr>
          <w:b/>
          <w:i/>
          <w:sz w:val="24"/>
          <w:szCs w:val="24"/>
        </w:rPr>
        <w:t>Abstract</w:t>
      </w:r>
      <w:r>
        <w:rPr>
          <w:i/>
          <w:sz w:val="24"/>
          <w:szCs w:val="24"/>
        </w:rPr>
        <w:t>)</w:t>
      </w:r>
      <w:r>
        <w:rPr>
          <w:sz w:val="24"/>
          <w:szCs w:val="24"/>
        </w:rPr>
        <w:t xml:space="preserve"> e das palavras-chave (</w:t>
      </w:r>
      <w:r>
        <w:rPr>
          <w:b/>
          <w:i/>
          <w:sz w:val="24"/>
          <w:szCs w:val="24"/>
        </w:rPr>
        <w:t>Keywords</w:t>
      </w:r>
      <w:r>
        <w:rPr>
          <w:sz w:val="24"/>
          <w:szCs w:val="24"/>
        </w:rPr>
        <w:t>), para os autores que prepararem o trabalho em português ou em espanhol, deve ser apresentada no final do trabalho, após a lista de referências.</w:t>
      </w:r>
    </w:p>
    <w:p w14:paraId="1ED0E237" w14:textId="77777777" w:rsidR="007C7991" w:rsidRDefault="007C7991">
      <w:pPr>
        <w:tabs>
          <w:tab w:val="left" w:pos="709"/>
        </w:tabs>
        <w:ind w:firstLine="709"/>
        <w:rPr>
          <w:b/>
          <w:sz w:val="24"/>
          <w:szCs w:val="24"/>
        </w:rPr>
      </w:pPr>
    </w:p>
    <w:p w14:paraId="1ED0E238"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Tamanho do trabalho</w:t>
      </w:r>
    </w:p>
    <w:p w14:paraId="1ED0E239" w14:textId="77777777" w:rsidR="007C7991" w:rsidRDefault="009D0A91">
      <w:pPr>
        <w:tabs>
          <w:tab w:val="left" w:pos="709"/>
        </w:tabs>
        <w:rPr>
          <w:sz w:val="24"/>
          <w:szCs w:val="24"/>
        </w:rPr>
      </w:pPr>
      <w:r>
        <w:rPr>
          <w:sz w:val="24"/>
          <w:szCs w:val="24"/>
        </w:rPr>
        <w:tab/>
        <w:t>O trabalho completo, incluindo figuras e tabelas, deve ter no máximo doze (12) páginas</w:t>
      </w:r>
      <w:r>
        <w:rPr>
          <w:color w:val="FF0000"/>
          <w:sz w:val="24"/>
          <w:szCs w:val="24"/>
        </w:rPr>
        <w:t xml:space="preserve"> </w:t>
      </w:r>
      <w:r>
        <w:rPr>
          <w:sz w:val="24"/>
          <w:szCs w:val="24"/>
        </w:rPr>
        <w:t>em tamanho A4 (21 cm x 29,7 cm). Essa limitação deve ser atendida por meio de um texto redigido de forma objetiva e concisa e não pela redução do tamanho de figuras e tabelas que prejudiquem o entendimento dos símbolos, caracteres e legendas nelas incluídas.</w:t>
      </w:r>
    </w:p>
    <w:p w14:paraId="1ED0E23A" w14:textId="77777777" w:rsidR="007C7991" w:rsidRDefault="007C7991">
      <w:pPr>
        <w:tabs>
          <w:tab w:val="left" w:pos="709"/>
        </w:tabs>
        <w:ind w:firstLine="709"/>
        <w:rPr>
          <w:b/>
          <w:color w:val="000000"/>
          <w:sz w:val="24"/>
          <w:szCs w:val="24"/>
        </w:rPr>
      </w:pPr>
    </w:p>
    <w:p w14:paraId="1ED0E23B"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Formato de página</w:t>
      </w:r>
    </w:p>
    <w:p w14:paraId="1ED0E23C" w14:textId="77777777" w:rsidR="007C7991" w:rsidRDefault="009D0A91">
      <w:pPr>
        <w:tabs>
          <w:tab w:val="left" w:pos="709"/>
        </w:tabs>
        <w:rPr>
          <w:sz w:val="24"/>
          <w:szCs w:val="24"/>
        </w:rPr>
      </w:pPr>
      <w:r>
        <w:rPr>
          <w:sz w:val="24"/>
          <w:szCs w:val="24"/>
        </w:rPr>
        <w:tab/>
        <w:t>Cada página, no tamanho A4, deve ser configurada de modo a apresentar as margens direita, esquerda e inferior iguais a 2,0 cm e superior igual a 3,0 cm. Essas margens definem a mancha, ou seja, a área impressa. Dentro dessa área, o texto deve ser formatado em uma única coluna. Não deve ser incluída qualquer moldura no texto nem numeração de páginas. A aparência final do trabalho deve ser a mesma deste documento.</w:t>
      </w:r>
    </w:p>
    <w:p w14:paraId="1ED0E23D" w14:textId="77777777" w:rsidR="007C7991" w:rsidRDefault="007C7991">
      <w:pPr>
        <w:tabs>
          <w:tab w:val="left" w:pos="709"/>
        </w:tabs>
        <w:rPr>
          <w:sz w:val="24"/>
          <w:szCs w:val="24"/>
        </w:rPr>
      </w:pPr>
    </w:p>
    <w:p w14:paraId="1ED0E23E"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Especificações gerais para a estrutura e a formatação do texto</w:t>
      </w:r>
    </w:p>
    <w:p w14:paraId="1ED0E23F" w14:textId="77777777" w:rsidR="007C7991" w:rsidRDefault="009D0A91">
      <w:pPr>
        <w:tabs>
          <w:tab w:val="left" w:pos="709"/>
        </w:tabs>
        <w:rPr>
          <w:sz w:val="24"/>
          <w:szCs w:val="24"/>
        </w:rPr>
      </w:pPr>
      <w:r>
        <w:rPr>
          <w:sz w:val="24"/>
          <w:szCs w:val="24"/>
        </w:rPr>
        <w:tab/>
        <w:t xml:space="preserve">O trabalho deve ser totalmente digitado em fonte Arial tamanho 12 </w:t>
      </w:r>
      <w:proofErr w:type="spellStart"/>
      <w:r>
        <w:rPr>
          <w:sz w:val="24"/>
          <w:szCs w:val="24"/>
        </w:rPr>
        <w:t>pt</w:t>
      </w:r>
      <w:proofErr w:type="spellEnd"/>
      <w:r>
        <w:rPr>
          <w:sz w:val="24"/>
          <w:szCs w:val="24"/>
        </w:rPr>
        <w:t xml:space="preserve">. Essa diretriz somente não inclui o título do trabalho, que deverá apresentar tamanho 14 </w:t>
      </w:r>
      <w:proofErr w:type="spellStart"/>
      <w:r>
        <w:rPr>
          <w:sz w:val="24"/>
          <w:szCs w:val="24"/>
        </w:rPr>
        <w:t>pt</w:t>
      </w:r>
      <w:proofErr w:type="spellEnd"/>
      <w:r>
        <w:rPr>
          <w:sz w:val="24"/>
          <w:szCs w:val="24"/>
        </w:rPr>
        <w:t xml:space="preserve">. Títulos de seções e subseções tamanho 12 </w:t>
      </w:r>
      <w:proofErr w:type="spellStart"/>
      <w:r>
        <w:rPr>
          <w:sz w:val="24"/>
          <w:szCs w:val="24"/>
        </w:rPr>
        <w:t>pt</w:t>
      </w:r>
      <w:proofErr w:type="spellEnd"/>
      <w:r>
        <w:rPr>
          <w:sz w:val="24"/>
          <w:szCs w:val="24"/>
        </w:rPr>
        <w:t xml:space="preserve">. Legendas de figuras e tabelas tamanho 10 </w:t>
      </w:r>
      <w:proofErr w:type="spellStart"/>
      <w:r>
        <w:rPr>
          <w:sz w:val="24"/>
          <w:szCs w:val="24"/>
        </w:rPr>
        <w:t>pt</w:t>
      </w:r>
      <w:proofErr w:type="spellEnd"/>
      <w:r>
        <w:rPr>
          <w:sz w:val="24"/>
          <w:szCs w:val="24"/>
        </w:rPr>
        <w:t>.</w:t>
      </w:r>
    </w:p>
    <w:p w14:paraId="1ED0E240" w14:textId="77777777" w:rsidR="007C7991" w:rsidRDefault="007C7991">
      <w:pPr>
        <w:tabs>
          <w:tab w:val="left" w:pos="709"/>
        </w:tabs>
        <w:ind w:firstLine="709"/>
        <w:rPr>
          <w:sz w:val="24"/>
          <w:szCs w:val="24"/>
        </w:rPr>
      </w:pPr>
    </w:p>
    <w:p w14:paraId="1ED0E241" w14:textId="77777777" w:rsidR="007C7991" w:rsidRDefault="009D0A91">
      <w:pPr>
        <w:tabs>
          <w:tab w:val="left" w:pos="709"/>
        </w:tabs>
        <w:ind w:firstLine="709"/>
        <w:rPr>
          <w:b/>
          <w:i/>
          <w:color w:val="000000"/>
          <w:sz w:val="24"/>
          <w:szCs w:val="24"/>
        </w:rPr>
      </w:pPr>
      <w:r>
        <w:rPr>
          <w:b/>
          <w:i/>
          <w:color w:val="000000"/>
          <w:sz w:val="24"/>
          <w:szCs w:val="24"/>
        </w:rPr>
        <w:t>Título do trabalho</w:t>
      </w:r>
    </w:p>
    <w:p w14:paraId="1ED0E242" w14:textId="77777777" w:rsidR="007C7991" w:rsidRDefault="009D0A91">
      <w:pPr>
        <w:tabs>
          <w:tab w:val="left" w:pos="709"/>
        </w:tabs>
        <w:rPr>
          <w:sz w:val="24"/>
          <w:szCs w:val="24"/>
        </w:rPr>
      </w:pPr>
      <w:r>
        <w:rPr>
          <w:sz w:val="24"/>
          <w:szCs w:val="24"/>
        </w:rPr>
        <w:tab/>
        <w:t>O título deve ser digitado em negrito, em letras maiúsculas, em fonte Arial tamanho 14</w:t>
      </w:r>
      <w:r>
        <w:rPr>
          <w:color w:val="FFFFFF"/>
          <w:sz w:val="24"/>
          <w:szCs w:val="24"/>
        </w:rPr>
        <w:t>.</w:t>
      </w:r>
      <w:r>
        <w:rPr>
          <w:sz w:val="24"/>
          <w:szCs w:val="24"/>
        </w:rPr>
        <w:t xml:space="preserve">pt, com alinhamento centralizado, não devendo exceder três (3) linhas. Deixe três (3) linhas de espaço (12 </w:t>
      </w:r>
      <w:proofErr w:type="spellStart"/>
      <w:r>
        <w:rPr>
          <w:sz w:val="24"/>
          <w:szCs w:val="24"/>
        </w:rPr>
        <w:t>pt</w:t>
      </w:r>
      <w:proofErr w:type="spellEnd"/>
      <w:r>
        <w:rPr>
          <w:sz w:val="24"/>
          <w:szCs w:val="24"/>
        </w:rPr>
        <w:t>, espaço simples) depois do título.</w:t>
      </w:r>
    </w:p>
    <w:p w14:paraId="1ED0E243" w14:textId="77777777" w:rsidR="007C7991" w:rsidRDefault="007C7991">
      <w:pPr>
        <w:tabs>
          <w:tab w:val="left" w:pos="709"/>
        </w:tabs>
        <w:ind w:firstLine="709"/>
        <w:rPr>
          <w:sz w:val="24"/>
          <w:szCs w:val="24"/>
        </w:rPr>
      </w:pPr>
    </w:p>
    <w:p w14:paraId="1ED0E244" w14:textId="77777777" w:rsidR="007C7991" w:rsidRDefault="009D0A91">
      <w:pPr>
        <w:tabs>
          <w:tab w:val="left" w:pos="709"/>
        </w:tabs>
        <w:ind w:firstLine="709"/>
        <w:rPr>
          <w:b/>
          <w:i/>
          <w:sz w:val="24"/>
          <w:szCs w:val="24"/>
        </w:rPr>
      </w:pPr>
      <w:r>
        <w:rPr>
          <w:b/>
          <w:i/>
          <w:sz w:val="24"/>
          <w:szCs w:val="24"/>
        </w:rPr>
        <w:t>Autor(es) e afiliação</w:t>
      </w:r>
    </w:p>
    <w:p w14:paraId="1ED0E245" w14:textId="77777777" w:rsidR="007C7991" w:rsidRDefault="009D0A91">
      <w:pPr>
        <w:tabs>
          <w:tab w:val="left" w:pos="709"/>
        </w:tabs>
        <w:rPr>
          <w:sz w:val="24"/>
          <w:szCs w:val="24"/>
        </w:rPr>
      </w:pPr>
      <w:r>
        <w:rPr>
          <w:sz w:val="24"/>
          <w:szCs w:val="24"/>
        </w:rPr>
        <w:tab/>
        <w:t xml:space="preserve">Não inserir informações dos autores e afiliações no corpo do trabalho; as informações referidas serão captadas do formulário </w:t>
      </w:r>
      <w:r>
        <w:rPr>
          <w:i/>
          <w:sz w:val="24"/>
          <w:szCs w:val="24"/>
        </w:rPr>
        <w:t>online</w:t>
      </w:r>
      <w:r>
        <w:rPr>
          <w:sz w:val="24"/>
          <w:szCs w:val="24"/>
        </w:rPr>
        <w:t xml:space="preserve"> de submissão, que deve ser preenchido corretamente, com as informações de todos os autores, no momento da submissão do trabalho. Não será permitida a inclusão ou exclusão de autores após a submissão do trabalho.</w:t>
      </w:r>
    </w:p>
    <w:p w14:paraId="1ED0E246" w14:textId="77777777" w:rsidR="007C7991" w:rsidRDefault="007C7991">
      <w:pPr>
        <w:tabs>
          <w:tab w:val="left" w:pos="709"/>
        </w:tabs>
        <w:rPr>
          <w:b/>
          <w:i/>
          <w:color w:val="000000"/>
          <w:sz w:val="24"/>
          <w:szCs w:val="24"/>
        </w:rPr>
      </w:pPr>
    </w:p>
    <w:p w14:paraId="1ED0E247" w14:textId="77777777" w:rsidR="007C7991" w:rsidRDefault="009D0A91">
      <w:pPr>
        <w:tabs>
          <w:tab w:val="left" w:pos="709"/>
        </w:tabs>
        <w:ind w:firstLine="709"/>
        <w:rPr>
          <w:b/>
          <w:i/>
          <w:color w:val="000000"/>
          <w:sz w:val="24"/>
          <w:szCs w:val="24"/>
        </w:rPr>
      </w:pPr>
      <w:r>
        <w:rPr>
          <w:b/>
          <w:i/>
          <w:color w:val="000000"/>
          <w:sz w:val="24"/>
          <w:szCs w:val="24"/>
        </w:rPr>
        <w:t>Resumo e palavras-chave</w:t>
      </w:r>
    </w:p>
    <w:p w14:paraId="1ED0E248" w14:textId="77777777" w:rsidR="007C7991" w:rsidRDefault="009D0A91">
      <w:pPr>
        <w:tabs>
          <w:tab w:val="left" w:pos="709"/>
        </w:tabs>
        <w:rPr>
          <w:sz w:val="24"/>
          <w:szCs w:val="24"/>
        </w:rPr>
      </w:pPr>
      <w:r>
        <w:rPr>
          <w:sz w:val="24"/>
          <w:szCs w:val="24"/>
        </w:rPr>
        <w:tab/>
        <w:t xml:space="preserve">Não inserir o resumo e as palavras-chave no corpo do trabalho. Eles serão captados do formulário </w:t>
      </w:r>
      <w:r>
        <w:rPr>
          <w:i/>
          <w:sz w:val="24"/>
          <w:szCs w:val="24"/>
        </w:rPr>
        <w:t>online</w:t>
      </w:r>
      <w:r>
        <w:rPr>
          <w:sz w:val="24"/>
          <w:szCs w:val="24"/>
        </w:rPr>
        <w:t xml:space="preserve"> de submissão.</w:t>
      </w:r>
    </w:p>
    <w:p w14:paraId="1ED0E249" w14:textId="77777777" w:rsidR="007C7991" w:rsidRDefault="007C7991">
      <w:pPr>
        <w:tabs>
          <w:tab w:val="left" w:pos="709"/>
        </w:tabs>
        <w:ind w:firstLine="709"/>
        <w:rPr>
          <w:sz w:val="24"/>
          <w:szCs w:val="24"/>
        </w:rPr>
      </w:pPr>
    </w:p>
    <w:p w14:paraId="1ED0E24A" w14:textId="77777777" w:rsidR="007C7991" w:rsidRDefault="009D0A91">
      <w:pPr>
        <w:tabs>
          <w:tab w:val="left" w:pos="709"/>
        </w:tabs>
        <w:ind w:firstLine="709"/>
        <w:rPr>
          <w:b/>
          <w:i/>
          <w:sz w:val="24"/>
          <w:szCs w:val="24"/>
        </w:rPr>
      </w:pPr>
      <w:r>
        <w:rPr>
          <w:b/>
          <w:i/>
          <w:sz w:val="24"/>
          <w:szCs w:val="24"/>
        </w:rPr>
        <w:t>Títulos de seção</w:t>
      </w:r>
    </w:p>
    <w:p w14:paraId="1ED0E24B" w14:textId="77777777" w:rsidR="007C7991" w:rsidRDefault="009D0A91">
      <w:pPr>
        <w:tabs>
          <w:tab w:val="left" w:pos="709"/>
        </w:tabs>
        <w:rPr>
          <w:sz w:val="24"/>
          <w:szCs w:val="24"/>
        </w:rPr>
      </w:pPr>
      <w:r>
        <w:rPr>
          <w:sz w:val="24"/>
          <w:szCs w:val="24"/>
        </w:rPr>
        <w:tab/>
        <w:t>Use somente dois níveis para subseções, conforme apresentado nestas instruções. Digite o título das seções em letras maiúsculas, em negrito, alinhado à esquerda. Inicie digitando sua identificação em algarismos arábicos e então digite o título da seção a 1,25</w:t>
      </w:r>
      <w:r>
        <w:rPr>
          <w:color w:val="FFFFFF"/>
          <w:sz w:val="24"/>
          <w:szCs w:val="24"/>
        </w:rPr>
        <w:t>.</w:t>
      </w:r>
      <w:r>
        <w:rPr>
          <w:sz w:val="24"/>
          <w:szCs w:val="24"/>
        </w:rPr>
        <w:t xml:space="preserve">cm, da margem esquerda. Deixe uma linha de espaço (12 </w:t>
      </w:r>
      <w:proofErr w:type="spellStart"/>
      <w:r>
        <w:rPr>
          <w:sz w:val="24"/>
          <w:szCs w:val="24"/>
        </w:rPr>
        <w:t>pt</w:t>
      </w:r>
      <w:proofErr w:type="spellEnd"/>
      <w:r>
        <w:rPr>
          <w:sz w:val="24"/>
          <w:szCs w:val="24"/>
        </w:rPr>
        <w:t>, espaço simples) acima e abaixo desse título.</w:t>
      </w:r>
    </w:p>
    <w:p w14:paraId="1ED0E24C" w14:textId="77777777" w:rsidR="007C7991" w:rsidRDefault="009D0A91">
      <w:pPr>
        <w:tabs>
          <w:tab w:val="left" w:pos="709"/>
        </w:tabs>
        <w:rPr>
          <w:sz w:val="24"/>
          <w:szCs w:val="24"/>
        </w:rPr>
      </w:pPr>
      <w:r>
        <w:rPr>
          <w:sz w:val="24"/>
          <w:szCs w:val="24"/>
        </w:rPr>
        <w:tab/>
        <w:t xml:space="preserve">Para o primeiro nível de subseção, somente a primeira letra do título deve ser maiúscula, sendo todas em negrito, com o título alinhado à esquerda. Inicie pela digitação de sua identificação (dois algarismos arábicos separados por ponto) e então digite o título da seção a 1,25 cm, da margem esquerda. Deixe uma linha de espaço (12 </w:t>
      </w:r>
      <w:proofErr w:type="spellStart"/>
      <w:r>
        <w:rPr>
          <w:sz w:val="24"/>
          <w:szCs w:val="24"/>
        </w:rPr>
        <w:t>pt</w:t>
      </w:r>
      <w:proofErr w:type="spellEnd"/>
      <w:r>
        <w:rPr>
          <w:sz w:val="24"/>
          <w:szCs w:val="24"/>
        </w:rPr>
        <w:t>, espaço simples) acima deste título.</w:t>
      </w:r>
    </w:p>
    <w:p w14:paraId="1ED0E24D" w14:textId="77777777" w:rsidR="007C7991" w:rsidRDefault="009D0A91">
      <w:pPr>
        <w:tabs>
          <w:tab w:val="left" w:pos="709"/>
        </w:tabs>
        <w:rPr>
          <w:sz w:val="24"/>
          <w:szCs w:val="24"/>
        </w:rPr>
      </w:pPr>
      <w:r>
        <w:rPr>
          <w:sz w:val="24"/>
          <w:szCs w:val="24"/>
        </w:rPr>
        <w:tab/>
        <w:t>Não numere o título do segundo nível de subseção. Use letras em negrito e itálico, com somente a primeira em maiúscula. Inicie o texto dessa seção na linha seguinte, recuando o título em 1,25 cm, contados a partir da margem esquerda.</w:t>
      </w:r>
    </w:p>
    <w:p w14:paraId="1ED0E24E" w14:textId="77777777" w:rsidR="007C7991" w:rsidRDefault="007C7991">
      <w:pPr>
        <w:tabs>
          <w:tab w:val="left" w:pos="709"/>
        </w:tabs>
        <w:ind w:firstLine="709"/>
        <w:rPr>
          <w:sz w:val="24"/>
          <w:szCs w:val="24"/>
        </w:rPr>
      </w:pPr>
    </w:p>
    <w:p w14:paraId="1ED0E24F" w14:textId="77777777" w:rsidR="007C7991" w:rsidRDefault="009D0A91">
      <w:pPr>
        <w:tabs>
          <w:tab w:val="left" w:pos="709"/>
        </w:tabs>
        <w:ind w:firstLine="709"/>
        <w:rPr>
          <w:b/>
          <w:i/>
          <w:sz w:val="24"/>
          <w:szCs w:val="24"/>
        </w:rPr>
      </w:pPr>
      <w:r>
        <w:rPr>
          <w:b/>
          <w:i/>
          <w:sz w:val="24"/>
          <w:szCs w:val="24"/>
        </w:rPr>
        <w:t>Corpo do texto</w:t>
      </w:r>
    </w:p>
    <w:p w14:paraId="1ED0E250" w14:textId="77777777" w:rsidR="007C7991" w:rsidRDefault="009D0A91">
      <w:pPr>
        <w:tabs>
          <w:tab w:val="left" w:pos="709"/>
        </w:tabs>
        <w:rPr>
          <w:sz w:val="24"/>
          <w:szCs w:val="24"/>
        </w:rPr>
      </w:pPr>
      <w:r>
        <w:rPr>
          <w:sz w:val="24"/>
          <w:szCs w:val="24"/>
        </w:rPr>
        <w:tab/>
        <w:t xml:space="preserve">O texto deve ser digitado usando espaço simples e alinhamento justificado. Comece cada parágrafo a </w:t>
      </w:r>
      <w:r>
        <w:rPr>
          <w:i/>
          <w:sz w:val="24"/>
          <w:szCs w:val="24"/>
        </w:rPr>
        <w:t>1,25 cm</w:t>
      </w:r>
      <w:r>
        <w:rPr>
          <w:sz w:val="24"/>
          <w:szCs w:val="24"/>
        </w:rPr>
        <w:t xml:space="preserve"> da margem esquerda, não deixando espaço entre dois parágrafos subsequentes.</w:t>
      </w:r>
    </w:p>
    <w:p w14:paraId="1ED0E251" w14:textId="77777777" w:rsidR="007C7991" w:rsidRDefault="007C7991">
      <w:pPr>
        <w:tabs>
          <w:tab w:val="left" w:pos="709"/>
        </w:tabs>
        <w:ind w:firstLine="709"/>
        <w:rPr>
          <w:color w:val="000000"/>
          <w:sz w:val="24"/>
          <w:szCs w:val="24"/>
        </w:rPr>
      </w:pPr>
    </w:p>
    <w:p w14:paraId="1ED0E252"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lastRenderedPageBreak/>
        <w:t>Equações, símbolos e unidades</w:t>
      </w:r>
    </w:p>
    <w:p w14:paraId="1ED0E253" w14:textId="77777777" w:rsidR="007C7991" w:rsidRDefault="009D0A91">
      <w:pPr>
        <w:tabs>
          <w:tab w:val="left" w:pos="709"/>
        </w:tabs>
        <w:rPr>
          <w:sz w:val="24"/>
          <w:szCs w:val="24"/>
        </w:rPr>
      </w:pPr>
      <w:r>
        <w:rPr>
          <w:sz w:val="24"/>
          <w:szCs w:val="24"/>
        </w:rPr>
        <w:tab/>
      </w:r>
      <w:r>
        <w:rPr>
          <w:sz w:val="24"/>
          <w:szCs w:val="24"/>
        </w:rPr>
        <w:t xml:space="preserve">Caso haja necessidade de alguma equação, estas devem estar centralizadas. Numere as equações em sequência com algarismos arábicos entre parênteses e alinhados à direita, conforme modelo abaixo. Deixe uma linha de espaço antes e depois de cada equação incluída. </w:t>
      </w:r>
    </w:p>
    <w:p w14:paraId="1ED0E254" w14:textId="77777777" w:rsidR="007C7991" w:rsidRDefault="009D0A91">
      <w:pPr>
        <w:tabs>
          <w:tab w:val="left" w:pos="709"/>
        </w:tabs>
        <w:ind w:firstLine="709"/>
        <w:rPr>
          <w:sz w:val="24"/>
          <w:szCs w:val="24"/>
        </w:rPr>
      </w:pPr>
      <w:r>
        <w:rPr>
          <w:sz w:val="24"/>
          <w:szCs w:val="24"/>
        </w:rPr>
        <w:t>Por exemplo:</w:t>
      </w:r>
    </w:p>
    <w:p w14:paraId="1ED0E255" w14:textId="77777777" w:rsidR="007C7991" w:rsidRDefault="007C7991">
      <w:pPr>
        <w:tabs>
          <w:tab w:val="left" w:pos="709"/>
        </w:tabs>
        <w:rPr>
          <w:sz w:val="24"/>
          <w:szCs w:val="24"/>
        </w:rPr>
      </w:pPr>
    </w:p>
    <w:tbl>
      <w:tblPr>
        <w:tblStyle w:val="a0"/>
        <w:tblW w:w="8720" w:type="dxa"/>
        <w:jc w:val="center"/>
        <w:tblInd w:w="0" w:type="dxa"/>
        <w:tblLayout w:type="fixed"/>
        <w:tblLook w:val="0000" w:firstRow="0" w:lastRow="0" w:firstColumn="0" w:lastColumn="0" w:noHBand="0" w:noVBand="0"/>
      </w:tblPr>
      <w:tblGrid>
        <w:gridCol w:w="7922"/>
        <w:gridCol w:w="798"/>
      </w:tblGrid>
      <w:tr w:rsidR="007C7991" w14:paraId="1ED0E258" w14:textId="77777777">
        <w:trPr>
          <w:jc w:val="center"/>
        </w:trPr>
        <w:tc>
          <w:tcPr>
            <w:tcW w:w="7922" w:type="dxa"/>
            <w:shd w:val="clear" w:color="auto" w:fill="auto"/>
            <w:vAlign w:val="center"/>
          </w:tcPr>
          <w:p w14:paraId="1ED0E256" w14:textId="77777777" w:rsidR="007C7991" w:rsidRDefault="009D0A91">
            <w:pPr>
              <w:tabs>
                <w:tab w:val="left" w:pos="709"/>
              </w:tabs>
              <w:jc w:val="center"/>
              <w:rPr>
                <w:sz w:val="24"/>
                <w:szCs w:val="24"/>
              </w:rPr>
            </w:pPr>
            <w:r>
              <w:rPr>
                <w:noProof/>
                <w:sz w:val="24"/>
                <w:szCs w:val="24"/>
              </w:rPr>
              <w:drawing>
                <wp:inline distT="0" distB="0" distL="0" distR="0" wp14:anchorId="1ED0E2CE" wp14:editId="1ED0E2CF">
                  <wp:extent cx="1143000" cy="469800"/>
                  <wp:effectExtent l="0" t="0" r="0" b="0"/>
                  <wp:docPr id="88068737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143000" cy="469800"/>
                          </a:xfrm>
                          <a:prstGeom prst="rect">
                            <a:avLst/>
                          </a:prstGeom>
                          <a:ln/>
                        </pic:spPr>
                      </pic:pic>
                    </a:graphicData>
                  </a:graphic>
                </wp:inline>
              </w:drawing>
            </w:r>
          </w:p>
        </w:tc>
        <w:tc>
          <w:tcPr>
            <w:tcW w:w="798" w:type="dxa"/>
            <w:shd w:val="clear" w:color="auto" w:fill="auto"/>
            <w:vAlign w:val="center"/>
          </w:tcPr>
          <w:p w14:paraId="1ED0E257" w14:textId="77777777" w:rsidR="007C7991" w:rsidRDefault="009D0A91">
            <w:pPr>
              <w:tabs>
                <w:tab w:val="left" w:pos="709"/>
              </w:tabs>
              <w:jc w:val="right"/>
              <w:rPr>
                <w:sz w:val="24"/>
                <w:szCs w:val="24"/>
              </w:rPr>
            </w:pPr>
            <w:r>
              <w:rPr>
                <w:sz w:val="24"/>
                <w:szCs w:val="24"/>
              </w:rPr>
              <w:t>(1)</w:t>
            </w:r>
          </w:p>
        </w:tc>
      </w:tr>
    </w:tbl>
    <w:p w14:paraId="1ED0E259" w14:textId="77777777" w:rsidR="007C7991" w:rsidRDefault="007C7991">
      <w:pPr>
        <w:tabs>
          <w:tab w:val="left" w:pos="709"/>
        </w:tabs>
        <w:rPr>
          <w:sz w:val="24"/>
          <w:szCs w:val="24"/>
        </w:rPr>
      </w:pPr>
    </w:p>
    <w:p w14:paraId="1ED0E25A" w14:textId="77777777" w:rsidR="007C7991" w:rsidRDefault="009D0A91">
      <w:pPr>
        <w:tabs>
          <w:tab w:val="left" w:pos="709"/>
        </w:tabs>
        <w:rPr>
          <w:sz w:val="24"/>
          <w:szCs w:val="24"/>
        </w:rPr>
      </w:pPr>
      <w:r>
        <w:rPr>
          <w:sz w:val="24"/>
          <w:szCs w:val="24"/>
        </w:rPr>
        <w:tab/>
        <w:t>Sempre que for feita referência a uma equação no texto, deve ser escrito "Equação</w:t>
      </w:r>
      <w:r>
        <w:rPr>
          <w:color w:val="FFFFFF"/>
          <w:sz w:val="24"/>
          <w:szCs w:val="24"/>
        </w:rPr>
        <w:t> </w:t>
      </w:r>
      <w:r>
        <w:rPr>
          <w:sz w:val="24"/>
          <w:szCs w:val="24"/>
        </w:rPr>
        <w:t>(1)". Os símbolos utilizados nas equações devem estar em itálico. A definição de cada símbolo deverá ser feita quando da primeira vez que surgir no texto. Uma seção de definições de símbolos não se faz necessária.</w:t>
      </w:r>
    </w:p>
    <w:p w14:paraId="1ED0E25B" w14:textId="77777777" w:rsidR="007C7991" w:rsidRDefault="009D0A91">
      <w:pPr>
        <w:tabs>
          <w:tab w:val="left" w:pos="709"/>
        </w:tabs>
        <w:rPr>
          <w:sz w:val="24"/>
          <w:szCs w:val="24"/>
        </w:rPr>
      </w:pPr>
      <w:r>
        <w:rPr>
          <w:sz w:val="24"/>
          <w:szCs w:val="24"/>
        </w:rPr>
        <w:tab/>
        <w:t>Todos os dados do trabalho, inclusive aqueles em tabelas e figuras, devem estar em unidades do Sistema Internacional (SI). A vírgula deverá ser o separador entre a parte inteira e a parte decimal de números fracionários.</w:t>
      </w:r>
    </w:p>
    <w:p w14:paraId="1ED0E25C" w14:textId="77777777" w:rsidR="007C7991" w:rsidRDefault="007C7991">
      <w:pPr>
        <w:tabs>
          <w:tab w:val="left" w:pos="709"/>
        </w:tabs>
        <w:rPr>
          <w:sz w:val="24"/>
          <w:szCs w:val="24"/>
        </w:rPr>
      </w:pPr>
    </w:p>
    <w:p w14:paraId="1ED0E25D"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Figuras, quadros e tabelas</w:t>
      </w:r>
    </w:p>
    <w:p w14:paraId="1ED0E25E" w14:textId="77777777" w:rsidR="007C7991" w:rsidRDefault="009D0A91">
      <w:pPr>
        <w:tabs>
          <w:tab w:val="left" w:pos="709"/>
        </w:tabs>
        <w:rPr>
          <w:sz w:val="24"/>
          <w:szCs w:val="24"/>
        </w:rPr>
      </w:pPr>
      <w:r>
        <w:rPr>
          <w:sz w:val="24"/>
          <w:szCs w:val="24"/>
        </w:rPr>
        <w:tab/>
        <w:t xml:space="preserve">Figuras, quadros e tabelas devem ser referenciados e posicionados o mais próximo possível e após sua citação no texto. Texto e símbolos nelas incluídos devem ser de fácil leitura, devendo-se evitar o uso de símbolos muito pequenos. Caso seja necessária a inclusão de ilustrações e fotos, estas devem ser de boa qualidade, ou seja, legíveis e com boa resolução: ao menos 300 </w:t>
      </w:r>
      <w:proofErr w:type="spellStart"/>
      <w:r>
        <w:rPr>
          <w:sz w:val="24"/>
          <w:szCs w:val="24"/>
        </w:rPr>
        <w:t>dpi</w:t>
      </w:r>
      <w:proofErr w:type="spellEnd"/>
      <w:r>
        <w:rPr>
          <w:sz w:val="24"/>
          <w:szCs w:val="24"/>
        </w:rPr>
        <w:t xml:space="preserve">/png. </w:t>
      </w:r>
    </w:p>
    <w:p w14:paraId="1ED0E25F" w14:textId="77777777" w:rsidR="007C7991" w:rsidRDefault="009D0A91">
      <w:pPr>
        <w:tabs>
          <w:tab w:val="left" w:pos="709"/>
        </w:tabs>
        <w:rPr>
          <w:sz w:val="24"/>
          <w:szCs w:val="24"/>
        </w:rPr>
      </w:pPr>
      <w:r>
        <w:rPr>
          <w:sz w:val="24"/>
          <w:szCs w:val="24"/>
        </w:rPr>
        <w:tab/>
        <w:t xml:space="preserve">As figuras, quadros e tabelas, e seus respectivos títulos, deverão estar centralizados no texto (ABNT NBR 14724). Os títulos devem ser alinhados aos limites das bordas da figura, do quadro ou tabela. Deixe uma linha de espaço entre o final do texto e o título da tabela, quadro ou figura, e outra linha de espaço entre a figura, quadro ou tabela e o texto subsequente. Observe os exemplos da Tabela 1 e da Figura 1. As fontes das figuras e das tabelas devem vir abaixo delas com tamanho 10 </w:t>
      </w:r>
      <w:proofErr w:type="spellStart"/>
      <w:r>
        <w:rPr>
          <w:sz w:val="24"/>
          <w:szCs w:val="24"/>
        </w:rPr>
        <w:t>pt</w:t>
      </w:r>
      <w:proofErr w:type="spellEnd"/>
      <w:r>
        <w:rPr>
          <w:sz w:val="24"/>
          <w:szCs w:val="24"/>
        </w:rPr>
        <w:t>.</w:t>
      </w:r>
    </w:p>
    <w:p w14:paraId="1ED0E260" w14:textId="77777777" w:rsidR="007C7991" w:rsidRDefault="009D0A91">
      <w:pPr>
        <w:tabs>
          <w:tab w:val="left" w:pos="709"/>
        </w:tabs>
        <w:rPr>
          <w:sz w:val="24"/>
          <w:szCs w:val="24"/>
        </w:rPr>
      </w:pPr>
      <w:r>
        <w:rPr>
          <w:sz w:val="24"/>
          <w:szCs w:val="24"/>
        </w:rPr>
        <w:tab/>
      </w:r>
    </w:p>
    <w:p w14:paraId="1ED0E261" w14:textId="77777777" w:rsidR="007C7991" w:rsidRDefault="009D0A91">
      <w:pPr>
        <w:tabs>
          <w:tab w:val="left" w:pos="709"/>
        </w:tabs>
        <w:ind w:left="1985" w:right="1983"/>
        <w:jc w:val="center"/>
        <w:rPr>
          <w:sz w:val="20"/>
          <w:szCs w:val="20"/>
        </w:rPr>
      </w:pPr>
      <w:r>
        <w:rPr>
          <w:sz w:val="20"/>
          <w:szCs w:val="20"/>
        </w:rPr>
        <w:t>Tabela 1 - Coeficientes de rendimento dos alunos no período 2000-2002.</w:t>
      </w:r>
    </w:p>
    <w:tbl>
      <w:tblPr>
        <w:tblStyle w:val="a1"/>
        <w:tblW w:w="5547" w:type="dxa"/>
        <w:jc w:val="center"/>
        <w:tblInd w:w="0" w:type="dxa"/>
        <w:tblLayout w:type="fixed"/>
        <w:tblLook w:val="0000" w:firstRow="0" w:lastRow="0" w:firstColumn="0" w:lastColumn="0" w:noHBand="0" w:noVBand="0"/>
      </w:tblPr>
      <w:tblGrid>
        <w:gridCol w:w="2306"/>
        <w:gridCol w:w="3241"/>
      </w:tblGrid>
      <w:tr w:rsidR="007C7991" w14:paraId="1ED0E264" w14:textId="77777777">
        <w:trPr>
          <w:jc w:val="center"/>
        </w:trPr>
        <w:tc>
          <w:tcPr>
            <w:tcW w:w="2306" w:type="dxa"/>
            <w:tcBorders>
              <w:top w:val="single" w:sz="4" w:space="0" w:color="000000"/>
              <w:bottom w:val="single" w:sz="4" w:space="0" w:color="000000"/>
            </w:tcBorders>
            <w:shd w:val="clear" w:color="auto" w:fill="auto"/>
          </w:tcPr>
          <w:p w14:paraId="1ED0E262" w14:textId="77777777" w:rsidR="007C7991" w:rsidRDefault="009D0A91">
            <w:pPr>
              <w:tabs>
                <w:tab w:val="left" w:pos="709"/>
              </w:tabs>
              <w:jc w:val="center"/>
              <w:rPr>
                <w:sz w:val="20"/>
                <w:szCs w:val="20"/>
              </w:rPr>
            </w:pPr>
            <w:r>
              <w:rPr>
                <w:sz w:val="20"/>
                <w:szCs w:val="20"/>
              </w:rPr>
              <w:t>Período</w:t>
            </w:r>
          </w:p>
        </w:tc>
        <w:tc>
          <w:tcPr>
            <w:tcW w:w="3241" w:type="dxa"/>
            <w:tcBorders>
              <w:top w:val="single" w:sz="4" w:space="0" w:color="000000"/>
              <w:bottom w:val="single" w:sz="4" w:space="0" w:color="000000"/>
            </w:tcBorders>
            <w:shd w:val="clear" w:color="auto" w:fill="auto"/>
          </w:tcPr>
          <w:p w14:paraId="1ED0E263" w14:textId="77777777" w:rsidR="007C7991" w:rsidRDefault="009D0A91">
            <w:pPr>
              <w:tabs>
                <w:tab w:val="left" w:pos="709"/>
              </w:tabs>
              <w:jc w:val="center"/>
              <w:rPr>
                <w:sz w:val="20"/>
                <w:szCs w:val="20"/>
              </w:rPr>
            </w:pPr>
            <w:r>
              <w:rPr>
                <w:sz w:val="20"/>
                <w:szCs w:val="20"/>
              </w:rPr>
              <w:t>Coeficiente de Rendimento</w:t>
            </w:r>
          </w:p>
        </w:tc>
      </w:tr>
      <w:tr w:rsidR="007C7991" w14:paraId="1ED0E267" w14:textId="77777777">
        <w:trPr>
          <w:jc w:val="center"/>
        </w:trPr>
        <w:tc>
          <w:tcPr>
            <w:tcW w:w="2306" w:type="dxa"/>
            <w:tcBorders>
              <w:top w:val="single" w:sz="4" w:space="0" w:color="000000"/>
            </w:tcBorders>
            <w:shd w:val="clear" w:color="auto" w:fill="auto"/>
          </w:tcPr>
          <w:p w14:paraId="1ED0E265" w14:textId="77777777" w:rsidR="007C7991" w:rsidRDefault="009D0A91">
            <w:pPr>
              <w:tabs>
                <w:tab w:val="left" w:pos="709"/>
              </w:tabs>
              <w:jc w:val="center"/>
              <w:rPr>
                <w:sz w:val="20"/>
                <w:szCs w:val="20"/>
              </w:rPr>
            </w:pPr>
            <w:r>
              <w:rPr>
                <w:sz w:val="20"/>
                <w:szCs w:val="20"/>
              </w:rPr>
              <w:t>2000</w:t>
            </w:r>
          </w:p>
        </w:tc>
        <w:tc>
          <w:tcPr>
            <w:tcW w:w="3241" w:type="dxa"/>
            <w:tcBorders>
              <w:top w:val="single" w:sz="4" w:space="0" w:color="000000"/>
            </w:tcBorders>
            <w:shd w:val="clear" w:color="auto" w:fill="auto"/>
          </w:tcPr>
          <w:p w14:paraId="1ED0E266" w14:textId="77777777" w:rsidR="007C7991" w:rsidRDefault="009D0A91">
            <w:pPr>
              <w:tabs>
                <w:tab w:val="left" w:pos="709"/>
              </w:tabs>
              <w:jc w:val="center"/>
              <w:rPr>
                <w:sz w:val="20"/>
                <w:szCs w:val="20"/>
              </w:rPr>
            </w:pPr>
            <w:r>
              <w:rPr>
                <w:sz w:val="20"/>
                <w:szCs w:val="20"/>
              </w:rPr>
              <w:t>7,5</w:t>
            </w:r>
          </w:p>
        </w:tc>
      </w:tr>
      <w:tr w:rsidR="007C7991" w14:paraId="1ED0E26A" w14:textId="77777777">
        <w:trPr>
          <w:jc w:val="center"/>
        </w:trPr>
        <w:tc>
          <w:tcPr>
            <w:tcW w:w="2306" w:type="dxa"/>
            <w:shd w:val="clear" w:color="auto" w:fill="auto"/>
          </w:tcPr>
          <w:p w14:paraId="1ED0E268" w14:textId="77777777" w:rsidR="007C7991" w:rsidRDefault="009D0A91">
            <w:pPr>
              <w:tabs>
                <w:tab w:val="left" w:pos="709"/>
              </w:tabs>
              <w:jc w:val="center"/>
              <w:rPr>
                <w:sz w:val="20"/>
                <w:szCs w:val="20"/>
              </w:rPr>
            </w:pPr>
            <w:r>
              <w:rPr>
                <w:sz w:val="20"/>
                <w:szCs w:val="20"/>
              </w:rPr>
              <w:t>2001</w:t>
            </w:r>
          </w:p>
        </w:tc>
        <w:tc>
          <w:tcPr>
            <w:tcW w:w="3241" w:type="dxa"/>
            <w:shd w:val="clear" w:color="auto" w:fill="auto"/>
          </w:tcPr>
          <w:p w14:paraId="1ED0E269" w14:textId="77777777" w:rsidR="007C7991" w:rsidRDefault="009D0A91">
            <w:pPr>
              <w:tabs>
                <w:tab w:val="left" w:pos="709"/>
              </w:tabs>
              <w:jc w:val="center"/>
              <w:rPr>
                <w:sz w:val="20"/>
                <w:szCs w:val="20"/>
              </w:rPr>
            </w:pPr>
            <w:r>
              <w:rPr>
                <w:sz w:val="20"/>
                <w:szCs w:val="20"/>
              </w:rPr>
              <w:t>8,1</w:t>
            </w:r>
          </w:p>
        </w:tc>
      </w:tr>
      <w:tr w:rsidR="007C7991" w14:paraId="1ED0E26D" w14:textId="77777777">
        <w:trPr>
          <w:jc w:val="center"/>
        </w:trPr>
        <w:tc>
          <w:tcPr>
            <w:tcW w:w="2306" w:type="dxa"/>
            <w:tcBorders>
              <w:bottom w:val="single" w:sz="4" w:space="0" w:color="000000"/>
            </w:tcBorders>
            <w:shd w:val="clear" w:color="auto" w:fill="auto"/>
          </w:tcPr>
          <w:p w14:paraId="1ED0E26B" w14:textId="77777777" w:rsidR="007C7991" w:rsidRDefault="009D0A91">
            <w:pPr>
              <w:tabs>
                <w:tab w:val="left" w:pos="709"/>
              </w:tabs>
              <w:jc w:val="center"/>
              <w:rPr>
                <w:sz w:val="20"/>
                <w:szCs w:val="20"/>
              </w:rPr>
            </w:pPr>
            <w:r>
              <w:rPr>
                <w:sz w:val="20"/>
                <w:szCs w:val="20"/>
              </w:rPr>
              <w:t>2002</w:t>
            </w:r>
          </w:p>
        </w:tc>
        <w:tc>
          <w:tcPr>
            <w:tcW w:w="3241" w:type="dxa"/>
            <w:tcBorders>
              <w:bottom w:val="single" w:sz="4" w:space="0" w:color="000000"/>
            </w:tcBorders>
            <w:shd w:val="clear" w:color="auto" w:fill="auto"/>
          </w:tcPr>
          <w:p w14:paraId="1ED0E26C" w14:textId="77777777" w:rsidR="007C7991" w:rsidRDefault="009D0A91">
            <w:pPr>
              <w:tabs>
                <w:tab w:val="left" w:pos="709"/>
              </w:tabs>
              <w:jc w:val="center"/>
              <w:rPr>
                <w:sz w:val="20"/>
                <w:szCs w:val="20"/>
              </w:rPr>
            </w:pPr>
            <w:r>
              <w:rPr>
                <w:sz w:val="20"/>
                <w:szCs w:val="20"/>
              </w:rPr>
              <w:t>8,3</w:t>
            </w:r>
          </w:p>
        </w:tc>
      </w:tr>
    </w:tbl>
    <w:p w14:paraId="1ED0E26E" w14:textId="77777777" w:rsidR="007C7991" w:rsidRDefault="009D0A91">
      <w:pPr>
        <w:tabs>
          <w:tab w:val="left" w:pos="709"/>
        </w:tabs>
        <w:ind w:left="1985" w:right="1983"/>
        <w:rPr>
          <w:sz w:val="20"/>
          <w:szCs w:val="20"/>
        </w:rPr>
      </w:pPr>
      <w:r>
        <w:rPr>
          <w:sz w:val="20"/>
          <w:szCs w:val="20"/>
        </w:rPr>
        <w:t xml:space="preserve">Fonte:   </w:t>
      </w:r>
    </w:p>
    <w:p w14:paraId="1ED0E26F" w14:textId="77777777" w:rsidR="007C7991" w:rsidRDefault="007C7991">
      <w:pPr>
        <w:tabs>
          <w:tab w:val="left" w:pos="709"/>
        </w:tabs>
        <w:ind w:left="1985" w:right="1983"/>
        <w:jc w:val="center"/>
        <w:rPr>
          <w:sz w:val="20"/>
          <w:szCs w:val="20"/>
        </w:rPr>
      </w:pPr>
    </w:p>
    <w:p w14:paraId="1ED0E270" w14:textId="77777777" w:rsidR="007C7991" w:rsidRDefault="009D0A91">
      <w:pPr>
        <w:tabs>
          <w:tab w:val="left" w:pos="709"/>
        </w:tabs>
        <w:ind w:left="1985" w:right="1983"/>
        <w:jc w:val="center"/>
        <w:rPr>
          <w:sz w:val="20"/>
          <w:szCs w:val="20"/>
        </w:rPr>
      </w:pPr>
      <w:r>
        <w:rPr>
          <w:sz w:val="20"/>
          <w:szCs w:val="20"/>
        </w:rPr>
        <w:t>Quadro 1 - Turno dos cursos de engenharia</w:t>
      </w:r>
    </w:p>
    <w:tbl>
      <w:tblPr>
        <w:tblStyle w:val="a2"/>
        <w:tblW w:w="554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6"/>
        <w:gridCol w:w="3241"/>
      </w:tblGrid>
      <w:tr w:rsidR="007C7991" w14:paraId="1ED0E273" w14:textId="77777777">
        <w:trP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auto"/>
          </w:tcPr>
          <w:p w14:paraId="1ED0E271" w14:textId="77777777" w:rsidR="007C7991" w:rsidRDefault="009D0A91">
            <w:pPr>
              <w:tabs>
                <w:tab w:val="left" w:pos="709"/>
              </w:tabs>
              <w:jc w:val="center"/>
              <w:rPr>
                <w:sz w:val="20"/>
                <w:szCs w:val="20"/>
              </w:rPr>
            </w:pPr>
            <w:r>
              <w:rPr>
                <w:sz w:val="20"/>
                <w:szCs w:val="20"/>
              </w:rPr>
              <w:t>Curso</w:t>
            </w:r>
          </w:p>
        </w:tc>
        <w:tc>
          <w:tcPr>
            <w:tcW w:w="3241" w:type="dxa"/>
            <w:tcBorders>
              <w:top w:val="single" w:sz="4" w:space="0" w:color="000000"/>
              <w:left w:val="single" w:sz="4" w:space="0" w:color="000000"/>
              <w:bottom w:val="single" w:sz="4" w:space="0" w:color="000000"/>
              <w:right w:val="single" w:sz="4" w:space="0" w:color="000000"/>
            </w:tcBorders>
            <w:shd w:val="clear" w:color="auto" w:fill="auto"/>
          </w:tcPr>
          <w:p w14:paraId="1ED0E272" w14:textId="77777777" w:rsidR="007C7991" w:rsidRDefault="009D0A91">
            <w:pPr>
              <w:tabs>
                <w:tab w:val="left" w:pos="709"/>
              </w:tabs>
              <w:jc w:val="center"/>
              <w:rPr>
                <w:sz w:val="20"/>
                <w:szCs w:val="20"/>
              </w:rPr>
            </w:pPr>
            <w:r>
              <w:rPr>
                <w:sz w:val="20"/>
                <w:szCs w:val="20"/>
              </w:rPr>
              <w:t>Turno</w:t>
            </w:r>
          </w:p>
        </w:tc>
      </w:tr>
      <w:tr w:rsidR="007C7991" w14:paraId="1ED0E276" w14:textId="77777777">
        <w:trP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auto"/>
          </w:tcPr>
          <w:p w14:paraId="1ED0E274" w14:textId="77777777" w:rsidR="007C7991" w:rsidRDefault="009D0A91">
            <w:pPr>
              <w:tabs>
                <w:tab w:val="left" w:pos="709"/>
              </w:tabs>
              <w:jc w:val="center"/>
              <w:rPr>
                <w:sz w:val="20"/>
                <w:szCs w:val="20"/>
              </w:rPr>
            </w:pPr>
            <w:r>
              <w:rPr>
                <w:sz w:val="20"/>
                <w:szCs w:val="20"/>
              </w:rPr>
              <w:t>Engenharia Civil</w:t>
            </w:r>
          </w:p>
        </w:tc>
        <w:tc>
          <w:tcPr>
            <w:tcW w:w="3241" w:type="dxa"/>
            <w:tcBorders>
              <w:top w:val="single" w:sz="4" w:space="0" w:color="000000"/>
              <w:left w:val="single" w:sz="4" w:space="0" w:color="000000"/>
              <w:bottom w:val="single" w:sz="4" w:space="0" w:color="000000"/>
              <w:right w:val="single" w:sz="4" w:space="0" w:color="000000"/>
            </w:tcBorders>
            <w:shd w:val="clear" w:color="auto" w:fill="auto"/>
          </w:tcPr>
          <w:p w14:paraId="1ED0E275" w14:textId="77777777" w:rsidR="007C7991" w:rsidRDefault="009D0A91">
            <w:pPr>
              <w:tabs>
                <w:tab w:val="left" w:pos="709"/>
              </w:tabs>
              <w:jc w:val="center"/>
              <w:rPr>
                <w:sz w:val="20"/>
                <w:szCs w:val="20"/>
              </w:rPr>
            </w:pPr>
            <w:r>
              <w:rPr>
                <w:sz w:val="20"/>
                <w:szCs w:val="20"/>
              </w:rPr>
              <w:t>Matutino</w:t>
            </w:r>
          </w:p>
        </w:tc>
      </w:tr>
      <w:tr w:rsidR="007C7991" w14:paraId="1ED0E279" w14:textId="77777777">
        <w:trP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auto"/>
          </w:tcPr>
          <w:p w14:paraId="1ED0E277" w14:textId="77777777" w:rsidR="007C7991" w:rsidRDefault="009D0A91">
            <w:pPr>
              <w:tabs>
                <w:tab w:val="left" w:pos="709"/>
              </w:tabs>
              <w:jc w:val="center"/>
              <w:rPr>
                <w:sz w:val="20"/>
                <w:szCs w:val="20"/>
              </w:rPr>
            </w:pPr>
            <w:r>
              <w:rPr>
                <w:sz w:val="20"/>
                <w:szCs w:val="20"/>
              </w:rPr>
              <w:t>Engenharia Elétrica</w:t>
            </w:r>
          </w:p>
        </w:tc>
        <w:tc>
          <w:tcPr>
            <w:tcW w:w="3241" w:type="dxa"/>
            <w:tcBorders>
              <w:top w:val="single" w:sz="4" w:space="0" w:color="000000"/>
              <w:left w:val="single" w:sz="4" w:space="0" w:color="000000"/>
              <w:bottom w:val="single" w:sz="4" w:space="0" w:color="000000"/>
              <w:right w:val="single" w:sz="4" w:space="0" w:color="000000"/>
            </w:tcBorders>
            <w:shd w:val="clear" w:color="auto" w:fill="auto"/>
          </w:tcPr>
          <w:p w14:paraId="1ED0E278" w14:textId="77777777" w:rsidR="007C7991" w:rsidRDefault="009D0A91">
            <w:pPr>
              <w:tabs>
                <w:tab w:val="left" w:pos="709"/>
              </w:tabs>
              <w:jc w:val="center"/>
              <w:rPr>
                <w:sz w:val="20"/>
                <w:szCs w:val="20"/>
              </w:rPr>
            </w:pPr>
            <w:r>
              <w:rPr>
                <w:sz w:val="20"/>
                <w:szCs w:val="20"/>
              </w:rPr>
              <w:t>Noturno</w:t>
            </w:r>
          </w:p>
        </w:tc>
      </w:tr>
      <w:tr w:rsidR="007C7991" w14:paraId="1ED0E27C" w14:textId="77777777">
        <w:trP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auto"/>
          </w:tcPr>
          <w:p w14:paraId="1ED0E27A" w14:textId="77777777" w:rsidR="007C7991" w:rsidRDefault="009D0A91">
            <w:pPr>
              <w:tabs>
                <w:tab w:val="left" w:pos="709"/>
              </w:tabs>
              <w:jc w:val="center"/>
              <w:rPr>
                <w:sz w:val="20"/>
                <w:szCs w:val="20"/>
              </w:rPr>
            </w:pPr>
            <w:r>
              <w:rPr>
                <w:sz w:val="20"/>
                <w:szCs w:val="20"/>
              </w:rPr>
              <w:t>Engenharia Química</w:t>
            </w:r>
          </w:p>
        </w:tc>
        <w:tc>
          <w:tcPr>
            <w:tcW w:w="3241" w:type="dxa"/>
            <w:tcBorders>
              <w:top w:val="single" w:sz="4" w:space="0" w:color="000000"/>
              <w:left w:val="single" w:sz="4" w:space="0" w:color="000000"/>
              <w:bottom w:val="single" w:sz="4" w:space="0" w:color="000000"/>
              <w:right w:val="single" w:sz="4" w:space="0" w:color="000000"/>
            </w:tcBorders>
            <w:shd w:val="clear" w:color="auto" w:fill="auto"/>
          </w:tcPr>
          <w:p w14:paraId="1ED0E27B" w14:textId="77777777" w:rsidR="007C7991" w:rsidRDefault="009D0A91">
            <w:pPr>
              <w:tabs>
                <w:tab w:val="left" w:pos="709"/>
              </w:tabs>
              <w:jc w:val="center"/>
              <w:rPr>
                <w:sz w:val="20"/>
                <w:szCs w:val="20"/>
              </w:rPr>
            </w:pPr>
            <w:r>
              <w:rPr>
                <w:sz w:val="20"/>
                <w:szCs w:val="20"/>
              </w:rPr>
              <w:t>Vespertino</w:t>
            </w:r>
          </w:p>
        </w:tc>
      </w:tr>
    </w:tbl>
    <w:p w14:paraId="1ED0E27D" w14:textId="77777777" w:rsidR="007C7991" w:rsidRDefault="009D0A91">
      <w:pPr>
        <w:tabs>
          <w:tab w:val="left" w:pos="709"/>
        </w:tabs>
        <w:ind w:left="1985" w:right="1983"/>
        <w:rPr>
          <w:sz w:val="24"/>
          <w:szCs w:val="24"/>
        </w:rPr>
      </w:pPr>
      <w:r>
        <w:rPr>
          <w:sz w:val="20"/>
          <w:szCs w:val="20"/>
        </w:rPr>
        <w:t xml:space="preserve">Fonte:   </w:t>
      </w:r>
    </w:p>
    <w:p w14:paraId="1ED0E27E" w14:textId="77777777" w:rsidR="007C7991" w:rsidRDefault="007C7991">
      <w:pPr>
        <w:tabs>
          <w:tab w:val="left" w:pos="709"/>
        </w:tabs>
        <w:rPr>
          <w:sz w:val="24"/>
          <w:szCs w:val="24"/>
        </w:rPr>
      </w:pPr>
    </w:p>
    <w:p w14:paraId="1ED0E27F" w14:textId="77777777" w:rsidR="007C7991" w:rsidRDefault="007C7991">
      <w:pPr>
        <w:pBdr>
          <w:top w:val="nil"/>
          <w:left w:val="nil"/>
          <w:bottom w:val="nil"/>
          <w:right w:val="nil"/>
          <w:between w:val="nil"/>
        </w:pBdr>
        <w:tabs>
          <w:tab w:val="left" w:pos="709"/>
        </w:tabs>
        <w:spacing w:before="120" w:after="120"/>
        <w:ind w:left="2410" w:right="2408"/>
        <w:jc w:val="center"/>
        <w:rPr>
          <w:color w:val="000000"/>
          <w:sz w:val="20"/>
          <w:szCs w:val="20"/>
        </w:rPr>
      </w:pPr>
      <w:bookmarkStart w:id="0" w:name="_heading=h.gjdgxs" w:colFirst="0" w:colLast="0"/>
      <w:bookmarkEnd w:id="0"/>
    </w:p>
    <w:p w14:paraId="36DF5929" w14:textId="77777777" w:rsidR="00101E66" w:rsidRDefault="00101E66">
      <w:pPr>
        <w:pBdr>
          <w:top w:val="nil"/>
          <w:left w:val="nil"/>
          <w:bottom w:val="nil"/>
          <w:right w:val="nil"/>
          <w:between w:val="nil"/>
        </w:pBdr>
        <w:tabs>
          <w:tab w:val="left" w:pos="709"/>
        </w:tabs>
        <w:spacing w:before="120" w:after="120"/>
        <w:ind w:left="2410" w:right="2408"/>
        <w:jc w:val="center"/>
        <w:rPr>
          <w:color w:val="000000"/>
          <w:sz w:val="20"/>
          <w:szCs w:val="20"/>
        </w:rPr>
      </w:pPr>
    </w:p>
    <w:p w14:paraId="1FB6346F" w14:textId="77777777" w:rsidR="00101E66" w:rsidRDefault="00101E66">
      <w:pPr>
        <w:pBdr>
          <w:top w:val="nil"/>
          <w:left w:val="nil"/>
          <w:bottom w:val="nil"/>
          <w:right w:val="nil"/>
          <w:between w:val="nil"/>
        </w:pBdr>
        <w:tabs>
          <w:tab w:val="left" w:pos="709"/>
        </w:tabs>
        <w:spacing w:before="120" w:after="120"/>
        <w:ind w:left="2410" w:right="2408"/>
        <w:jc w:val="center"/>
        <w:rPr>
          <w:color w:val="000000"/>
          <w:sz w:val="20"/>
          <w:szCs w:val="20"/>
        </w:rPr>
      </w:pPr>
    </w:p>
    <w:p w14:paraId="0842C3DC" w14:textId="77777777" w:rsidR="00101E66" w:rsidRDefault="00101E66" w:rsidP="009D0A91">
      <w:pPr>
        <w:rPr>
          <w:color w:val="000000"/>
          <w:sz w:val="20"/>
          <w:szCs w:val="20"/>
        </w:rPr>
      </w:pPr>
    </w:p>
    <w:p w14:paraId="1ED0E280" w14:textId="77777777" w:rsidR="007C7991" w:rsidRDefault="009D0A91">
      <w:pPr>
        <w:pBdr>
          <w:top w:val="nil"/>
          <w:left w:val="nil"/>
          <w:bottom w:val="nil"/>
          <w:right w:val="nil"/>
          <w:between w:val="nil"/>
        </w:pBdr>
        <w:tabs>
          <w:tab w:val="left" w:pos="709"/>
        </w:tabs>
        <w:spacing w:before="120" w:after="120"/>
        <w:ind w:left="2410" w:right="2408"/>
        <w:jc w:val="center"/>
        <w:rPr>
          <w:color w:val="000000"/>
          <w:sz w:val="24"/>
          <w:szCs w:val="24"/>
        </w:rPr>
      </w:pPr>
      <w:r>
        <w:rPr>
          <w:color w:val="000000"/>
          <w:sz w:val="20"/>
          <w:szCs w:val="20"/>
        </w:rPr>
        <w:lastRenderedPageBreak/>
        <w:t>Figura 1 – Peças produzidas pelos estudantes para determinação do baricentro</w:t>
      </w:r>
      <w:r>
        <w:rPr>
          <w:color w:val="000000"/>
          <w:sz w:val="24"/>
          <w:szCs w:val="24"/>
        </w:rPr>
        <w:t>.</w:t>
      </w:r>
    </w:p>
    <w:p w14:paraId="1ED0E281" w14:textId="77777777" w:rsidR="007C7991" w:rsidRDefault="009D0A91">
      <w:pPr>
        <w:tabs>
          <w:tab w:val="left" w:pos="709"/>
        </w:tabs>
        <w:jc w:val="center"/>
        <w:rPr>
          <w:sz w:val="24"/>
          <w:szCs w:val="24"/>
        </w:rPr>
      </w:pPr>
      <w:r>
        <w:rPr>
          <w:noProof/>
          <w:sz w:val="24"/>
          <w:szCs w:val="24"/>
        </w:rPr>
        <w:drawing>
          <wp:inline distT="0" distB="0" distL="0" distR="0" wp14:anchorId="1ED0E2D0" wp14:editId="1ED0E2D1">
            <wp:extent cx="2682519" cy="2023255"/>
            <wp:effectExtent l="0" t="0" r="0" b="0"/>
            <wp:docPr id="880687373" name="image4.jpg" descr="Uma imagem contendo Gráfico de superfície&#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4.jpg" descr="Uma imagem contendo Gráfico de superfície&#10;&#10;Descrição gerada automaticamente"/>
                    <pic:cNvPicPr preferRelativeResize="0"/>
                  </pic:nvPicPr>
                  <pic:blipFill>
                    <a:blip r:embed="rId10"/>
                    <a:srcRect/>
                    <a:stretch>
                      <a:fillRect/>
                    </a:stretch>
                  </pic:blipFill>
                  <pic:spPr>
                    <a:xfrm>
                      <a:off x="0" y="0"/>
                      <a:ext cx="2682519" cy="2023255"/>
                    </a:xfrm>
                    <a:prstGeom prst="rect">
                      <a:avLst/>
                    </a:prstGeom>
                    <a:ln/>
                  </pic:spPr>
                </pic:pic>
              </a:graphicData>
            </a:graphic>
          </wp:inline>
        </w:drawing>
      </w:r>
    </w:p>
    <w:p w14:paraId="1ED0E282" w14:textId="77777777" w:rsidR="007C7991" w:rsidRDefault="009D0A91">
      <w:pPr>
        <w:tabs>
          <w:tab w:val="left" w:pos="709"/>
        </w:tabs>
        <w:ind w:left="2410" w:right="2267"/>
        <w:rPr>
          <w:sz w:val="20"/>
          <w:szCs w:val="20"/>
        </w:rPr>
      </w:pPr>
      <w:r>
        <w:rPr>
          <w:sz w:val="20"/>
          <w:szCs w:val="20"/>
        </w:rPr>
        <w:t>Fonte:</w:t>
      </w:r>
    </w:p>
    <w:p w14:paraId="1ED0E283" w14:textId="77777777" w:rsidR="007C7991" w:rsidRDefault="007C7991">
      <w:pPr>
        <w:tabs>
          <w:tab w:val="left" w:pos="709"/>
        </w:tabs>
        <w:rPr>
          <w:sz w:val="24"/>
          <w:szCs w:val="24"/>
        </w:rPr>
      </w:pPr>
    </w:p>
    <w:p w14:paraId="1ED0E284" w14:textId="77777777" w:rsidR="007C7991" w:rsidRDefault="009D0A91">
      <w:pPr>
        <w:tabs>
          <w:tab w:val="left" w:pos="709"/>
        </w:tabs>
        <w:rPr>
          <w:sz w:val="24"/>
          <w:szCs w:val="24"/>
        </w:rPr>
      </w:pPr>
      <w:r>
        <w:rPr>
          <w:sz w:val="24"/>
          <w:szCs w:val="24"/>
        </w:rPr>
        <w:tab/>
        <w:t>Numere as figuras, quadros e tabelas em sequência usando algarismos arábicos (exemplo: Figura 1, Figura 2, Quadro 1, Quadro 2, Tabela 1, Tabela 2). Faça referência a elas no texto como “Tabela 1”, “Quadro 1” e “Figura 1”.</w:t>
      </w:r>
    </w:p>
    <w:p w14:paraId="1ED0E285" w14:textId="77777777" w:rsidR="007C7991" w:rsidRDefault="009D0A91">
      <w:pPr>
        <w:tabs>
          <w:tab w:val="left" w:pos="709"/>
        </w:tabs>
        <w:rPr>
          <w:sz w:val="24"/>
          <w:szCs w:val="24"/>
        </w:rPr>
      </w:pPr>
      <w:r>
        <w:rPr>
          <w:sz w:val="24"/>
          <w:szCs w:val="24"/>
        </w:rPr>
        <w:tab/>
        <w:t>Denomine os eixos coordenados em gráficos, incluindo as respectivas unidades, sempre que aplicável. Da mesma forma, denomine colunas/linhas em tabelas, com respectivas unidades, caso aplicável.</w:t>
      </w:r>
    </w:p>
    <w:p w14:paraId="1ED0E286" w14:textId="77777777" w:rsidR="007C7991" w:rsidRDefault="007C7991">
      <w:pPr>
        <w:tabs>
          <w:tab w:val="left" w:pos="709"/>
        </w:tabs>
        <w:rPr>
          <w:sz w:val="24"/>
          <w:szCs w:val="24"/>
        </w:rPr>
      </w:pPr>
    </w:p>
    <w:p w14:paraId="1ED0E287"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Citações</w:t>
      </w:r>
    </w:p>
    <w:p w14:paraId="1ED0E288" w14:textId="77777777" w:rsidR="007C7991" w:rsidRDefault="009D0A91">
      <w:pPr>
        <w:tabs>
          <w:tab w:val="left" w:pos="709"/>
        </w:tabs>
        <w:rPr>
          <w:sz w:val="24"/>
          <w:szCs w:val="24"/>
        </w:rPr>
      </w:pPr>
      <w:r>
        <w:rPr>
          <w:sz w:val="24"/>
          <w:szCs w:val="24"/>
        </w:rPr>
        <w:tab/>
        <w:t>Nas citações, as chamadas pelo(s) sobrenome(s) do(s) autor(es), pela instituição responsável ou título incluído na sentença devem seguir a ABNT NBR 10520.</w:t>
      </w:r>
    </w:p>
    <w:p w14:paraId="1ED0E289" w14:textId="77777777" w:rsidR="007C7991" w:rsidRDefault="009D0A91">
      <w:pPr>
        <w:tabs>
          <w:tab w:val="left" w:pos="709"/>
        </w:tabs>
        <w:rPr>
          <w:sz w:val="24"/>
          <w:szCs w:val="24"/>
        </w:rPr>
      </w:pPr>
      <w:r>
        <w:rPr>
          <w:sz w:val="24"/>
          <w:szCs w:val="24"/>
        </w:rPr>
        <w:tab/>
        <w:t xml:space="preserve">Citação direta, literal ou textual é a que um autor transcreve, literalmente, de outra fonte, o texto, respeitando todas as características formais em relação à redação, à ortografia e à pontuação originais. A citação direta pode ser breve (de até três linhas) transcrita entre aspas duplas, vindo incorporada ao parágrafo. Quando ultrapassar de três linhas a citação deve vir recuada 4,0 cm do corpo do texto e tamanho da fonte 11 </w:t>
      </w:r>
      <w:proofErr w:type="spellStart"/>
      <w:r>
        <w:rPr>
          <w:sz w:val="24"/>
          <w:szCs w:val="24"/>
        </w:rPr>
        <w:t>pt</w:t>
      </w:r>
      <w:proofErr w:type="spellEnd"/>
      <w:r>
        <w:rPr>
          <w:sz w:val="24"/>
          <w:szCs w:val="24"/>
        </w:rPr>
        <w:t>. Quando o nome do autor estiver incluído na sentença, indicam-se a data entre parênteses e as páginas.</w:t>
      </w:r>
    </w:p>
    <w:p w14:paraId="1ED0E28A" w14:textId="77777777" w:rsidR="007C7991" w:rsidRDefault="009D0A91">
      <w:pPr>
        <w:tabs>
          <w:tab w:val="left" w:pos="709"/>
        </w:tabs>
        <w:rPr>
          <w:b/>
          <w:sz w:val="24"/>
          <w:szCs w:val="24"/>
        </w:rPr>
      </w:pPr>
      <w:r>
        <w:rPr>
          <w:sz w:val="24"/>
          <w:szCs w:val="24"/>
        </w:rPr>
        <w:tab/>
      </w:r>
      <w:r>
        <w:rPr>
          <w:sz w:val="24"/>
          <w:szCs w:val="24"/>
        </w:rPr>
        <w:t>Citação indireta são reproduções de ideias de outrem sem que haja transcrição literal das palavras utilizadas. Apesar de livres, devem ser fiéis ao sentido do texto original, não necessitando de aspas, nesse caso só o nome do(s) autor(es) e o ano da produção.</w:t>
      </w:r>
    </w:p>
    <w:p w14:paraId="1ED0E28B" w14:textId="77777777" w:rsidR="007C7991" w:rsidRDefault="007C7991">
      <w:pPr>
        <w:tabs>
          <w:tab w:val="left" w:pos="709"/>
        </w:tabs>
        <w:rPr>
          <w:sz w:val="24"/>
          <w:szCs w:val="24"/>
        </w:rPr>
      </w:pPr>
    </w:p>
    <w:p w14:paraId="1ED0E28C" w14:textId="77777777" w:rsidR="007C7991" w:rsidRDefault="009D0A91">
      <w:pPr>
        <w:keepNext/>
        <w:numPr>
          <w:ilvl w:val="1"/>
          <w:numId w:val="1"/>
        </w:numPr>
        <w:tabs>
          <w:tab w:val="left" w:pos="709"/>
        </w:tabs>
        <w:ind w:left="0" w:firstLine="709"/>
        <w:rPr>
          <w:b/>
          <w:color w:val="000000"/>
          <w:sz w:val="24"/>
          <w:szCs w:val="24"/>
        </w:rPr>
      </w:pPr>
      <w:r>
        <w:rPr>
          <w:b/>
          <w:color w:val="000000"/>
          <w:sz w:val="24"/>
          <w:szCs w:val="24"/>
        </w:rPr>
        <w:t>Autorizações/Reconhecimento</w:t>
      </w:r>
    </w:p>
    <w:p w14:paraId="1ED0E28D" w14:textId="77777777" w:rsidR="007C7991" w:rsidRDefault="009D0A91">
      <w:pPr>
        <w:tabs>
          <w:tab w:val="left" w:pos="709"/>
        </w:tabs>
        <w:rPr>
          <w:sz w:val="24"/>
          <w:szCs w:val="24"/>
        </w:rPr>
      </w:pPr>
      <w:r>
        <w:rPr>
          <w:sz w:val="24"/>
          <w:szCs w:val="24"/>
        </w:rPr>
        <w:tab/>
        <w:t>Os autores são responsáveis por garantir o direito de publicar todo o conteúdo de seu trabalho. Se material com direitos autorais foi usado na preparação deste, pode ser necessário obter a devida autorização do detentor dos direitos para a publicação do material em questão.</w:t>
      </w:r>
    </w:p>
    <w:p w14:paraId="1ED0E28E" w14:textId="77777777" w:rsidR="007C7991" w:rsidRDefault="007C7991">
      <w:pPr>
        <w:tabs>
          <w:tab w:val="left" w:pos="709"/>
        </w:tabs>
        <w:rPr>
          <w:sz w:val="24"/>
          <w:szCs w:val="24"/>
        </w:rPr>
      </w:pPr>
    </w:p>
    <w:p w14:paraId="1ED0E28F" w14:textId="77777777" w:rsidR="007C7991" w:rsidRDefault="009D0A91">
      <w:pPr>
        <w:keepNext/>
        <w:numPr>
          <w:ilvl w:val="0"/>
          <w:numId w:val="1"/>
        </w:numPr>
        <w:tabs>
          <w:tab w:val="left" w:pos="709"/>
        </w:tabs>
        <w:ind w:left="0" w:firstLine="709"/>
        <w:rPr>
          <w:b/>
          <w:smallCaps/>
          <w:color w:val="000000"/>
          <w:sz w:val="24"/>
          <w:szCs w:val="24"/>
        </w:rPr>
      </w:pPr>
      <w:r>
        <w:rPr>
          <w:b/>
          <w:color w:val="000000"/>
          <w:sz w:val="24"/>
          <w:szCs w:val="24"/>
        </w:rPr>
        <w:t>Considerações</w:t>
      </w:r>
      <w:r>
        <w:rPr>
          <w:b/>
          <w:smallCaps/>
          <w:color w:val="000000"/>
          <w:sz w:val="24"/>
          <w:szCs w:val="24"/>
        </w:rPr>
        <w:t xml:space="preserve"> FINAIS</w:t>
      </w:r>
    </w:p>
    <w:p w14:paraId="1ED0E290" w14:textId="77777777" w:rsidR="007C7991" w:rsidRDefault="009D0A91">
      <w:pPr>
        <w:tabs>
          <w:tab w:val="left" w:pos="709"/>
        </w:tabs>
        <w:rPr>
          <w:sz w:val="24"/>
          <w:szCs w:val="24"/>
        </w:rPr>
      </w:pPr>
      <w:r>
        <w:rPr>
          <w:color w:val="000000"/>
          <w:sz w:val="24"/>
          <w:szCs w:val="24"/>
        </w:rPr>
        <w:tab/>
      </w:r>
      <w:r>
        <w:rPr>
          <w:sz w:val="24"/>
          <w:szCs w:val="24"/>
        </w:rPr>
        <w:t xml:space="preserve">O trabalho deve ser formatado de acordo com este modelo, </w:t>
      </w:r>
      <w:r>
        <w:rPr>
          <w:color w:val="000000"/>
          <w:sz w:val="24"/>
          <w:szCs w:val="24"/>
        </w:rPr>
        <w:t>seguindo as orientações contidas na página do evento e ser submetido no sistema da ABENGE, em formato PDF.</w:t>
      </w:r>
    </w:p>
    <w:p w14:paraId="1ED0E291" w14:textId="77777777" w:rsidR="007C7991" w:rsidRDefault="009D0A91">
      <w:pPr>
        <w:tabs>
          <w:tab w:val="left" w:pos="709"/>
        </w:tabs>
        <w:rPr>
          <w:sz w:val="24"/>
          <w:szCs w:val="24"/>
        </w:rPr>
      </w:pPr>
      <w:r>
        <w:rPr>
          <w:color w:val="000000"/>
          <w:sz w:val="24"/>
          <w:szCs w:val="24"/>
        </w:rPr>
        <w:tab/>
        <w:t>Será acusado, via sistema do evento, o recebimento dos trabalhos enviados.</w:t>
      </w:r>
    </w:p>
    <w:p w14:paraId="1ED0E292" w14:textId="77777777" w:rsidR="007C7991" w:rsidRDefault="009D0A91">
      <w:pPr>
        <w:tabs>
          <w:tab w:val="left" w:pos="709"/>
        </w:tabs>
        <w:rPr>
          <w:color w:val="000000"/>
          <w:sz w:val="24"/>
          <w:szCs w:val="24"/>
        </w:rPr>
      </w:pPr>
      <w:r>
        <w:rPr>
          <w:sz w:val="24"/>
          <w:szCs w:val="24"/>
        </w:rPr>
        <w:tab/>
      </w:r>
    </w:p>
    <w:p w14:paraId="1ED0E293" w14:textId="77777777" w:rsidR="007C7991" w:rsidRDefault="009D0A91">
      <w:pPr>
        <w:tabs>
          <w:tab w:val="left" w:pos="709"/>
        </w:tabs>
        <w:rPr>
          <w:b/>
          <w:color w:val="000000"/>
          <w:sz w:val="24"/>
          <w:szCs w:val="24"/>
        </w:rPr>
      </w:pPr>
      <w:r>
        <w:rPr>
          <w:b/>
          <w:i/>
          <w:color w:val="000000"/>
          <w:sz w:val="24"/>
          <w:szCs w:val="24"/>
        </w:rPr>
        <w:tab/>
      </w:r>
      <w:r>
        <w:rPr>
          <w:b/>
          <w:color w:val="000000"/>
          <w:sz w:val="24"/>
          <w:szCs w:val="24"/>
        </w:rPr>
        <w:t>AGRADECIMENTOS</w:t>
      </w:r>
    </w:p>
    <w:p w14:paraId="1ED0E294" w14:textId="77777777" w:rsidR="007C7991" w:rsidRDefault="009D0A91">
      <w:pPr>
        <w:tabs>
          <w:tab w:val="left" w:pos="709"/>
        </w:tabs>
        <w:rPr>
          <w:sz w:val="24"/>
          <w:szCs w:val="24"/>
        </w:rPr>
      </w:pPr>
      <w:r>
        <w:rPr>
          <w:sz w:val="24"/>
          <w:szCs w:val="24"/>
        </w:rPr>
        <w:tab/>
        <w:t xml:space="preserve">Nesta seção poderão ser incluídos reconhecimentos de apoios recebidos de pessoas físicas e instituições. Esta seção deve estar localizada entre o fim do corpo do texto e a lista de referências. </w:t>
      </w:r>
    </w:p>
    <w:p w14:paraId="1ED0E295" w14:textId="77777777" w:rsidR="007C7991" w:rsidRDefault="007C7991">
      <w:pPr>
        <w:tabs>
          <w:tab w:val="left" w:pos="709"/>
        </w:tabs>
        <w:rPr>
          <w:smallCaps/>
          <w:sz w:val="24"/>
          <w:szCs w:val="24"/>
        </w:rPr>
      </w:pPr>
    </w:p>
    <w:p w14:paraId="1ED0E296" w14:textId="77777777" w:rsidR="007C7991" w:rsidRDefault="007C7991">
      <w:pPr>
        <w:tabs>
          <w:tab w:val="left" w:pos="709"/>
        </w:tabs>
        <w:rPr>
          <w:smallCaps/>
          <w:sz w:val="24"/>
          <w:szCs w:val="24"/>
        </w:rPr>
      </w:pPr>
    </w:p>
    <w:p w14:paraId="1ED0E297" w14:textId="77777777" w:rsidR="007C7991" w:rsidRDefault="009D0A91">
      <w:pPr>
        <w:tabs>
          <w:tab w:val="left" w:pos="709"/>
        </w:tabs>
        <w:rPr>
          <w:b/>
          <w:smallCaps/>
          <w:color w:val="000000"/>
          <w:sz w:val="24"/>
          <w:szCs w:val="24"/>
        </w:rPr>
      </w:pPr>
      <w:r>
        <w:rPr>
          <w:b/>
          <w:smallCaps/>
          <w:color w:val="000000"/>
          <w:sz w:val="24"/>
          <w:szCs w:val="24"/>
        </w:rPr>
        <w:tab/>
        <w:t>REFERÊNCIAS</w:t>
      </w:r>
    </w:p>
    <w:p w14:paraId="1ED0E298" w14:textId="77777777" w:rsidR="007C7991" w:rsidRDefault="009D0A91">
      <w:pPr>
        <w:tabs>
          <w:tab w:val="left" w:pos="709"/>
        </w:tabs>
        <w:rPr>
          <w:sz w:val="24"/>
          <w:szCs w:val="24"/>
        </w:rPr>
      </w:pPr>
      <w:r>
        <w:rPr>
          <w:sz w:val="24"/>
          <w:szCs w:val="24"/>
        </w:rPr>
        <w:tab/>
        <w:t>Apresentadas em ordem alfabética e de acordo com a ABNT NBR 6023.</w:t>
      </w:r>
    </w:p>
    <w:p w14:paraId="1ED0E299" w14:textId="77777777" w:rsidR="007C7991" w:rsidRDefault="007C7991">
      <w:pPr>
        <w:tabs>
          <w:tab w:val="left" w:pos="709"/>
        </w:tabs>
        <w:rPr>
          <w:sz w:val="24"/>
          <w:szCs w:val="24"/>
        </w:rPr>
      </w:pPr>
    </w:p>
    <w:p w14:paraId="1ED0E29A" w14:textId="77777777" w:rsidR="007C7991" w:rsidRDefault="009D0A91">
      <w:pPr>
        <w:tabs>
          <w:tab w:val="left" w:pos="709"/>
        </w:tabs>
        <w:rPr>
          <w:b/>
          <w:i/>
          <w:color w:val="000000"/>
          <w:sz w:val="24"/>
          <w:szCs w:val="24"/>
        </w:rPr>
      </w:pPr>
      <w:r>
        <w:rPr>
          <w:b/>
          <w:i/>
          <w:color w:val="000000"/>
          <w:sz w:val="24"/>
          <w:szCs w:val="24"/>
        </w:rPr>
        <w:t>Livros:</w:t>
      </w:r>
    </w:p>
    <w:p w14:paraId="1ED0E29B" w14:textId="77777777" w:rsidR="007C7991" w:rsidRDefault="009D0A91">
      <w:pPr>
        <w:tabs>
          <w:tab w:val="left" w:pos="709"/>
        </w:tabs>
        <w:rPr>
          <w:sz w:val="24"/>
          <w:szCs w:val="24"/>
        </w:rPr>
      </w:pPr>
      <w:r>
        <w:rPr>
          <w:sz w:val="24"/>
          <w:szCs w:val="24"/>
        </w:rPr>
        <w:t xml:space="preserve">Um autor: </w:t>
      </w:r>
    </w:p>
    <w:p w14:paraId="1ED0E29C" w14:textId="77777777" w:rsidR="007C7991" w:rsidRDefault="009D0A91">
      <w:pPr>
        <w:tabs>
          <w:tab w:val="left" w:pos="709"/>
        </w:tabs>
        <w:rPr>
          <w:sz w:val="24"/>
          <w:szCs w:val="24"/>
        </w:rPr>
      </w:pPr>
      <w:r>
        <w:rPr>
          <w:sz w:val="24"/>
          <w:szCs w:val="24"/>
        </w:rPr>
        <w:t xml:space="preserve">KUHM, Thomas. </w:t>
      </w:r>
      <w:r>
        <w:rPr>
          <w:b/>
          <w:sz w:val="24"/>
          <w:szCs w:val="24"/>
        </w:rPr>
        <w:t>A estrutura das revoluções cientificas.</w:t>
      </w:r>
      <w:r>
        <w:rPr>
          <w:sz w:val="24"/>
          <w:szCs w:val="24"/>
        </w:rPr>
        <w:t xml:space="preserve"> 2. </w:t>
      </w:r>
      <w:proofErr w:type="spellStart"/>
      <w:r>
        <w:rPr>
          <w:sz w:val="24"/>
          <w:szCs w:val="24"/>
        </w:rPr>
        <w:t>ed</w:t>
      </w:r>
      <w:proofErr w:type="spellEnd"/>
      <w:r>
        <w:rPr>
          <w:sz w:val="24"/>
          <w:szCs w:val="24"/>
        </w:rPr>
        <w:t>, São Paulo: Perspectiva, 1987.</w:t>
      </w:r>
    </w:p>
    <w:p w14:paraId="1ED0E29D" w14:textId="77777777" w:rsidR="007C7991" w:rsidRDefault="007C7991">
      <w:pPr>
        <w:tabs>
          <w:tab w:val="left" w:pos="709"/>
        </w:tabs>
        <w:rPr>
          <w:sz w:val="24"/>
          <w:szCs w:val="24"/>
          <w:highlight w:val="yellow"/>
        </w:rPr>
      </w:pPr>
    </w:p>
    <w:p w14:paraId="1ED0E29E" w14:textId="77777777" w:rsidR="007C7991" w:rsidRDefault="009D0A91">
      <w:pPr>
        <w:tabs>
          <w:tab w:val="left" w:pos="709"/>
        </w:tabs>
        <w:rPr>
          <w:sz w:val="24"/>
          <w:szCs w:val="24"/>
        </w:rPr>
      </w:pPr>
      <w:r>
        <w:rPr>
          <w:sz w:val="24"/>
          <w:szCs w:val="24"/>
        </w:rPr>
        <w:t>Dois autores:</w:t>
      </w:r>
    </w:p>
    <w:p w14:paraId="1ED0E29F" w14:textId="77777777" w:rsidR="007C7991" w:rsidRDefault="009D0A91">
      <w:pPr>
        <w:tabs>
          <w:tab w:val="left" w:pos="709"/>
        </w:tabs>
        <w:rPr>
          <w:sz w:val="24"/>
          <w:szCs w:val="24"/>
        </w:rPr>
      </w:pPr>
      <w:r>
        <w:rPr>
          <w:sz w:val="24"/>
          <w:szCs w:val="24"/>
        </w:rPr>
        <w:t xml:space="preserve">LAKATOS, Eva Maria; MARCONI, Marina de Andrade. </w:t>
      </w:r>
      <w:r>
        <w:rPr>
          <w:b/>
          <w:sz w:val="24"/>
          <w:szCs w:val="24"/>
        </w:rPr>
        <w:t xml:space="preserve">Fundamentos de Metodologia Científica. </w:t>
      </w:r>
      <w:r>
        <w:rPr>
          <w:sz w:val="24"/>
          <w:szCs w:val="24"/>
        </w:rPr>
        <w:t>São Paulo: Editora Atlas. 1991.</w:t>
      </w:r>
    </w:p>
    <w:p w14:paraId="1ED0E2A0" w14:textId="77777777" w:rsidR="007C7991" w:rsidRDefault="007C7991">
      <w:pPr>
        <w:tabs>
          <w:tab w:val="left" w:pos="709"/>
        </w:tabs>
        <w:rPr>
          <w:sz w:val="24"/>
          <w:szCs w:val="24"/>
          <w:highlight w:val="yellow"/>
        </w:rPr>
      </w:pPr>
    </w:p>
    <w:p w14:paraId="1ED0E2A1" w14:textId="77777777" w:rsidR="007C7991" w:rsidRDefault="009D0A91">
      <w:pPr>
        <w:tabs>
          <w:tab w:val="left" w:pos="709"/>
        </w:tabs>
        <w:rPr>
          <w:sz w:val="24"/>
          <w:szCs w:val="24"/>
        </w:rPr>
      </w:pPr>
      <w:r>
        <w:rPr>
          <w:sz w:val="24"/>
          <w:szCs w:val="24"/>
        </w:rPr>
        <w:t>Três autores</w:t>
      </w:r>
    </w:p>
    <w:p w14:paraId="1ED0E2A2" w14:textId="77777777" w:rsidR="007C7991" w:rsidRDefault="009D0A91">
      <w:pPr>
        <w:tabs>
          <w:tab w:val="left" w:pos="709"/>
        </w:tabs>
        <w:rPr>
          <w:sz w:val="24"/>
          <w:szCs w:val="24"/>
        </w:rPr>
      </w:pPr>
      <w:r>
        <w:rPr>
          <w:sz w:val="24"/>
          <w:szCs w:val="24"/>
        </w:rPr>
        <w:t xml:space="preserve">DEMO, Pedro; LAKATOS, Eva Maria; MARCONI, Marina de Andrade. </w:t>
      </w:r>
      <w:r>
        <w:rPr>
          <w:b/>
          <w:sz w:val="24"/>
          <w:szCs w:val="24"/>
        </w:rPr>
        <w:t>Fundamentos de Metodologia Científica.</w:t>
      </w:r>
      <w:r>
        <w:rPr>
          <w:sz w:val="24"/>
          <w:szCs w:val="24"/>
        </w:rPr>
        <w:t xml:space="preserve"> São Paulo: Editora Atlas. 2009.</w:t>
      </w:r>
    </w:p>
    <w:p w14:paraId="1ED0E2A3" w14:textId="77777777" w:rsidR="007C7991" w:rsidRDefault="007C7991">
      <w:pPr>
        <w:tabs>
          <w:tab w:val="left" w:pos="709"/>
        </w:tabs>
        <w:rPr>
          <w:sz w:val="24"/>
          <w:szCs w:val="24"/>
          <w:highlight w:val="yellow"/>
        </w:rPr>
      </w:pPr>
    </w:p>
    <w:p w14:paraId="1ED0E2A4" w14:textId="77777777" w:rsidR="007C7991" w:rsidRDefault="009D0A91">
      <w:pPr>
        <w:tabs>
          <w:tab w:val="left" w:pos="709"/>
        </w:tabs>
        <w:rPr>
          <w:sz w:val="24"/>
          <w:szCs w:val="24"/>
        </w:rPr>
      </w:pPr>
      <w:r>
        <w:rPr>
          <w:sz w:val="24"/>
          <w:szCs w:val="24"/>
        </w:rPr>
        <w:t>Mais de três autores</w:t>
      </w:r>
    </w:p>
    <w:p w14:paraId="1ED0E2A5" w14:textId="77777777" w:rsidR="007C7991" w:rsidRDefault="009D0A91">
      <w:pPr>
        <w:tabs>
          <w:tab w:val="left" w:pos="709"/>
        </w:tabs>
        <w:rPr>
          <w:sz w:val="24"/>
          <w:szCs w:val="24"/>
        </w:rPr>
      </w:pPr>
      <w:r>
        <w:rPr>
          <w:sz w:val="24"/>
          <w:szCs w:val="24"/>
        </w:rPr>
        <w:t xml:space="preserve">LAKATOS, Eva Maria </w:t>
      </w:r>
      <w:r>
        <w:rPr>
          <w:i/>
          <w:sz w:val="24"/>
          <w:szCs w:val="24"/>
        </w:rPr>
        <w:t>et al</w:t>
      </w:r>
      <w:r>
        <w:rPr>
          <w:sz w:val="24"/>
          <w:szCs w:val="24"/>
        </w:rPr>
        <w:t xml:space="preserve">. </w:t>
      </w:r>
      <w:r>
        <w:rPr>
          <w:b/>
          <w:sz w:val="24"/>
          <w:szCs w:val="24"/>
        </w:rPr>
        <w:t>Fundamentos de Metodologia Científica.</w:t>
      </w:r>
      <w:r>
        <w:rPr>
          <w:sz w:val="24"/>
          <w:szCs w:val="24"/>
        </w:rPr>
        <w:t xml:space="preserve"> 2. ed. São Paulo: Editora Atlas. 1991.</w:t>
      </w:r>
    </w:p>
    <w:p w14:paraId="1ED0E2A6" w14:textId="77777777" w:rsidR="007C7991" w:rsidRDefault="007C7991">
      <w:pPr>
        <w:tabs>
          <w:tab w:val="left" w:pos="709"/>
        </w:tabs>
        <w:rPr>
          <w:b/>
          <w:i/>
          <w:sz w:val="24"/>
          <w:szCs w:val="24"/>
        </w:rPr>
      </w:pPr>
    </w:p>
    <w:p w14:paraId="1ED0E2A7" w14:textId="77777777" w:rsidR="007C7991" w:rsidRDefault="009D0A91">
      <w:pPr>
        <w:tabs>
          <w:tab w:val="left" w:pos="709"/>
        </w:tabs>
        <w:rPr>
          <w:b/>
          <w:i/>
          <w:sz w:val="24"/>
          <w:szCs w:val="24"/>
        </w:rPr>
      </w:pPr>
      <w:r>
        <w:rPr>
          <w:b/>
          <w:i/>
          <w:sz w:val="24"/>
          <w:szCs w:val="24"/>
        </w:rPr>
        <w:t>Capítulos de Livros:</w:t>
      </w:r>
    </w:p>
    <w:p w14:paraId="1ED0E2A8" w14:textId="77777777" w:rsidR="007C7991" w:rsidRDefault="009D0A91">
      <w:pPr>
        <w:tabs>
          <w:tab w:val="left" w:pos="709"/>
        </w:tabs>
        <w:rPr>
          <w:color w:val="000000"/>
          <w:sz w:val="24"/>
          <w:szCs w:val="24"/>
        </w:rPr>
      </w:pPr>
      <w:r>
        <w:rPr>
          <w:color w:val="000000"/>
          <w:sz w:val="24"/>
          <w:szCs w:val="24"/>
        </w:rPr>
        <w:t>PATAGONIO, Luiz. Mito da motivação. In: SANTANA, Júlia (Org.)</w:t>
      </w:r>
      <w:r>
        <w:rPr>
          <w:i/>
          <w:color w:val="000000"/>
          <w:sz w:val="24"/>
          <w:szCs w:val="24"/>
        </w:rPr>
        <w:t xml:space="preserve">. </w:t>
      </w:r>
      <w:r>
        <w:rPr>
          <w:b/>
          <w:color w:val="000000"/>
          <w:sz w:val="24"/>
          <w:szCs w:val="24"/>
        </w:rPr>
        <w:t xml:space="preserve">Administração do século XXI. </w:t>
      </w:r>
      <w:r>
        <w:rPr>
          <w:color w:val="000000"/>
          <w:sz w:val="24"/>
          <w:szCs w:val="24"/>
        </w:rPr>
        <w:t>2. ed. São Paulo: Editora Santos, 2015. p. 154-184.</w:t>
      </w:r>
    </w:p>
    <w:p w14:paraId="1ED0E2A9" w14:textId="77777777" w:rsidR="007C7991" w:rsidRDefault="007C7991">
      <w:pPr>
        <w:tabs>
          <w:tab w:val="left" w:pos="709"/>
        </w:tabs>
        <w:rPr>
          <w:b/>
          <w:i/>
          <w:sz w:val="24"/>
          <w:szCs w:val="24"/>
          <w:highlight w:val="yellow"/>
        </w:rPr>
      </w:pPr>
    </w:p>
    <w:p w14:paraId="1ED0E2AA" w14:textId="77777777" w:rsidR="007C7991" w:rsidRDefault="009D0A91">
      <w:pPr>
        <w:tabs>
          <w:tab w:val="left" w:pos="709"/>
        </w:tabs>
        <w:rPr>
          <w:b/>
          <w:i/>
          <w:sz w:val="24"/>
          <w:szCs w:val="24"/>
        </w:rPr>
      </w:pPr>
      <w:r>
        <w:rPr>
          <w:b/>
          <w:i/>
          <w:sz w:val="24"/>
          <w:szCs w:val="24"/>
        </w:rPr>
        <w:t>Artigos de periódicos:</w:t>
      </w:r>
    </w:p>
    <w:p w14:paraId="1ED0E2AB" w14:textId="77777777" w:rsidR="007C7991" w:rsidRDefault="009D0A91">
      <w:pPr>
        <w:tabs>
          <w:tab w:val="left" w:pos="709"/>
        </w:tabs>
        <w:rPr>
          <w:color w:val="000000"/>
          <w:sz w:val="24"/>
          <w:szCs w:val="24"/>
        </w:rPr>
      </w:pPr>
      <w:r>
        <w:rPr>
          <w:color w:val="000000"/>
          <w:sz w:val="24"/>
          <w:szCs w:val="24"/>
        </w:rPr>
        <w:t xml:space="preserve">TOZZI, M.; OTA, J. Vertedouro em degraus. </w:t>
      </w:r>
      <w:r>
        <w:rPr>
          <w:b/>
          <w:color w:val="000000"/>
          <w:sz w:val="24"/>
          <w:szCs w:val="24"/>
        </w:rPr>
        <w:t>Revista da Vinci</w:t>
      </w:r>
      <w:r>
        <w:rPr>
          <w:color w:val="000000"/>
          <w:sz w:val="24"/>
          <w:szCs w:val="24"/>
        </w:rPr>
        <w:t>, Curitiba, v.1, n.1, p. 9-28, 2004.</w:t>
      </w:r>
    </w:p>
    <w:p w14:paraId="1ED0E2AC" w14:textId="77777777" w:rsidR="007C7991" w:rsidRDefault="007C7991">
      <w:pPr>
        <w:tabs>
          <w:tab w:val="left" w:pos="709"/>
        </w:tabs>
        <w:rPr>
          <w:sz w:val="24"/>
          <w:szCs w:val="24"/>
          <w:highlight w:val="yellow"/>
        </w:rPr>
      </w:pPr>
    </w:p>
    <w:p w14:paraId="1ED0E2AD" w14:textId="77777777" w:rsidR="007C7991" w:rsidRDefault="009D0A91">
      <w:pPr>
        <w:tabs>
          <w:tab w:val="left" w:pos="709"/>
        </w:tabs>
        <w:rPr>
          <w:b/>
          <w:i/>
          <w:sz w:val="24"/>
          <w:szCs w:val="24"/>
        </w:rPr>
      </w:pPr>
      <w:r>
        <w:rPr>
          <w:b/>
          <w:i/>
          <w:sz w:val="24"/>
          <w:szCs w:val="24"/>
        </w:rPr>
        <w:t>Monografias, dissertações e teses:</w:t>
      </w:r>
    </w:p>
    <w:p w14:paraId="1ED0E2AE" w14:textId="77777777" w:rsidR="007C7991" w:rsidRDefault="009D0A91">
      <w:pPr>
        <w:tabs>
          <w:tab w:val="left" w:pos="709"/>
        </w:tabs>
        <w:rPr>
          <w:color w:val="000000"/>
          <w:sz w:val="24"/>
          <w:szCs w:val="24"/>
        </w:rPr>
      </w:pPr>
      <w:r>
        <w:rPr>
          <w:color w:val="000000"/>
          <w:sz w:val="24"/>
          <w:szCs w:val="24"/>
        </w:rPr>
        <w:t xml:space="preserve">OLIVEIRA, Fernando Moraes de. </w:t>
      </w:r>
      <w:r>
        <w:rPr>
          <w:b/>
          <w:color w:val="000000"/>
          <w:sz w:val="24"/>
          <w:szCs w:val="24"/>
        </w:rPr>
        <w:t>Reconhecimento de padrão em pacientes com esclerose sistêmica por sistemas Fuzzy</w:t>
      </w:r>
      <w:r>
        <w:rPr>
          <w:color w:val="000000"/>
          <w:sz w:val="24"/>
          <w:szCs w:val="24"/>
        </w:rPr>
        <w:t xml:space="preserve">.2017. Tese (Doutorado) – Curso de Engenharia de Sistemas e Computação. Universidade Federal do Rio de Janeiro, Rio de Janeiro, 2017. Disponível em: </w:t>
      </w:r>
      <w:hyperlink r:id="rId11">
        <w:r>
          <w:rPr>
            <w:color w:val="0000FF"/>
            <w:sz w:val="24"/>
            <w:szCs w:val="24"/>
            <w:u w:val="single"/>
          </w:rPr>
          <w:t>https://pantheon.ufrj.br/handle/11422/10160</w:t>
        </w:r>
      </w:hyperlink>
      <w:r>
        <w:rPr>
          <w:color w:val="000000"/>
          <w:sz w:val="24"/>
          <w:szCs w:val="24"/>
        </w:rPr>
        <w:t>. Acesso em:21 jan.2021:</w:t>
      </w:r>
    </w:p>
    <w:p w14:paraId="1ED0E2AF" w14:textId="77777777" w:rsidR="007C7991" w:rsidRDefault="007C7991">
      <w:pPr>
        <w:tabs>
          <w:tab w:val="left" w:pos="709"/>
        </w:tabs>
        <w:rPr>
          <w:sz w:val="24"/>
          <w:szCs w:val="24"/>
        </w:rPr>
      </w:pPr>
    </w:p>
    <w:p w14:paraId="1ED0E2B0" w14:textId="77777777" w:rsidR="007C7991" w:rsidRDefault="009D0A91">
      <w:pPr>
        <w:tabs>
          <w:tab w:val="left" w:pos="709"/>
        </w:tabs>
        <w:rPr>
          <w:b/>
          <w:i/>
          <w:sz w:val="24"/>
          <w:szCs w:val="24"/>
        </w:rPr>
      </w:pPr>
      <w:r>
        <w:rPr>
          <w:b/>
          <w:i/>
          <w:sz w:val="24"/>
          <w:szCs w:val="24"/>
        </w:rPr>
        <w:t xml:space="preserve">Publicações periódicas consideradas em parte (suplementos, fascículos, números especiais: </w:t>
      </w:r>
    </w:p>
    <w:p w14:paraId="1ED0E2B1" w14:textId="77777777" w:rsidR="007C7991" w:rsidRDefault="009D0A91">
      <w:pPr>
        <w:tabs>
          <w:tab w:val="left" w:pos="709"/>
        </w:tabs>
        <w:rPr>
          <w:color w:val="000000"/>
          <w:sz w:val="24"/>
          <w:szCs w:val="24"/>
        </w:rPr>
      </w:pPr>
      <w:r>
        <w:rPr>
          <w:color w:val="000000"/>
          <w:sz w:val="24"/>
          <w:szCs w:val="24"/>
        </w:rPr>
        <w:t xml:space="preserve">ARC DESIGN. </w:t>
      </w:r>
      <w:r>
        <w:rPr>
          <w:b/>
          <w:color w:val="000000"/>
          <w:sz w:val="24"/>
          <w:szCs w:val="24"/>
        </w:rPr>
        <w:t>Mestres da Arquitetura:</w:t>
      </w:r>
      <w:r>
        <w:rPr>
          <w:color w:val="000000"/>
          <w:sz w:val="24"/>
          <w:szCs w:val="24"/>
        </w:rPr>
        <w:t xml:space="preserve"> Oscar Niemeyer. São Paulo: Quadrifoglio, n. 35, mar. - abril, 2004.</w:t>
      </w:r>
    </w:p>
    <w:p w14:paraId="1ED0E2B2" w14:textId="77777777" w:rsidR="007C7991" w:rsidRDefault="007C7991">
      <w:pPr>
        <w:tabs>
          <w:tab w:val="left" w:pos="709"/>
        </w:tabs>
        <w:rPr>
          <w:color w:val="000000"/>
          <w:sz w:val="24"/>
          <w:szCs w:val="24"/>
        </w:rPr>
      </w:pPr>
    </w:p>
    <w:p w14:paraId="1ED0E2B3" w14:textId="77777777" w:rsidR="007C7991" w:rsidRDefault="009D0A91">
      <w:pPr>
        <w:tabs>
          <w:tab w:val="left" w:pos="709"/>
        </w:tabs>
        <w:rPr>
          <w:b/>
          <w:i/>
          <w:sz w:val="24"/>
          <w:szCs w:val="24"/>
        </w:rPr>
      </w:pPr>
      <w:r>
        <w:rPr>
          <w:b/>
          <w:i/>
          <w:sz w:val="24"/>
          <w:szCs w:val="24"/>
        </w:rPr>
        <w:t>Artigos de jornais:</w:t>
      </w:r>
    </w:p>
    <w:p w14:paraId="1ED0E2B4" w14:textId="77777777" w:rsidR="007C7991" w:rsidRDefault="009D0A91">
      <w:pPr>
        <w:tabs>
          <w:tab w:val="left" w:pos="709"/>
        </w:tabs>
        <w:rPr>
          <w:color w:val="000000"/>
          <w:sz w:val="24"/>
          <w:szCs w:val="24"/>
        </w:rPr>
      </w:pPr>
      <w:r>
        <w:rPr>
          <w:color w:val="000000"/>
          <w:sz w:val="24"/>
          <w:szCs w:val="24"/>
        </w:rPr>
        <w:t xml:space="preserve">AMENDOLA, Gilberto. OMS inclui a síndrome de burnout na lista de doenças. Estadão, São Paulo, 28 mai. 2019. Disponível em: </w:t>
      </w:r>
      <w:hyperlink r:id="rId12">
        <w:r>
          <w:rPr>
            <w:color w:val="0000FF"/>
            <w:sz w:val="24"/>
            <w:szCs w:val="24"/>
            <w:u w:val="single"/>
          </w:rPr>
          <w:t>https://saude.estadao.com.br/noticias/geral,oms-inclui-a-sindrome-de-burnout-na-lista-de-doencas,70002845142</w:t>
        </w:r>
      </w:hyperlink>
      <w:r>
        <w:rPr>
          <w:color w:val="000000"/>
          <w:sz w:val="24"/>
          <w:szCs w:val="24"/>
        </w:rPr>
        <w:t>. Acesso em: 20 ago. 2020.</w:t>
      </w:r>
    </w:p>
    <w:p w14:paraId="1ED0E2B5" w14:textId="77777777" w:rsidR="007C7991" w:rsidRDefault="007C7991">
      <w:pPr>
        <w:tabs>
          <w:tab w:val="left" w:pos="709"/>
        </w:tabs>
        <w:rPr>
          <w:color w:val="000000"/>
          <w:sz w:val="24"/>
          <w:szCs w:val="24"/>
          <w:highlight w:val="yellow"/>
        </w:rPr>
      </w:pPr>
    </w:p>
    <w:p w14:paraId="1ED0E2B6" w14:textId="77777777" w:rsidR="007C7991" w:rsidRDefault="009D0A91">
      <w:pPr>
        <w:tabs>
          <w:tab w:val="left" w:pos="709"/>
        </w:tabs>
        <w:rPr>
          <w:sz w:val="24"/>
          <w:szCs w:val="24"/>
        </w:rPr>
      </w:pPr>
      <w:r>
        <w:rPr>
          <w:b/>
          <w:i/>
          <w:sz w:val="24"/>
          <w:szCs w:val="24"/>
        </w:rPr>
        <w:t>Trabalhos em eventos</w:t>
      </w:r>
    </w:p>
    <w:p w14:paraId="1ED0E2B7" w14:textId="77777777" w:rsidR="007C7991" w:rsidRDefault="009D0A91">
      <w:pPr>
        <w:tabs>
          <w:tab w:val="left" w:pos="709"/>
        </w:tabs>
        <w:rPr>
          <w:b/>
          <w:sz w:val="24"/>
          <w:szCs w:val="24"/>
        </w:rPr>
      </w:pPr>
      <w:r>
        <w:rPr>
          <w:sz w:val="24"/>
          <w:szCs w:val="24"/>
        </w:rPr>
        <w:t xml:space="preserve">PEREIRA, Tânia R. D. S.; ANJOS, Telma D. S. dos. Professores Engenheiros ou Engenheiros Professores? Reflexão sobre o processo de construção da sua prática pedagógica. In: XLII Congresso Brasileiro de Educação em Engenharia, 2014, Juiz de Fora. </w:t>
      </w:r>
      <w:r>
        <w:rPr>
          <w:b/>
          <w:sz w:val="24"/>
          <w:szCs w:val="24"/>
        </w:rPr>
        <w:t>Anais</w:t>
      </w:r>
      <w:r>
        <w:rPr>
          <w:sz w:val="24"/>
          <w:szCs w:val="24"/>
        </w:rPr>
        <w:t xml:space="preserve">. Juiz de Fora. </w:t>
      </w:r>
      <w:r>
        <w:rPr>
          <w:sz w:val="24"/>
          <w:szCs w:val="24"/>
        </w:rPr>
        <w:lastRenderedPageBreak/>
        <w:t>Disponível em:</w:t>
      </w:r>
      <w:r>
        <w:t xml:space="preserve"> </w:t>
      </w:r>
      <w:hyperlink r:id="rId13">
        <w:r>
          <w:rPr>
            <w:color w:val="0000FF"/>
            <w:sz w:val="24"/>
            <w:szCs w:val="24"/>
            <w:u w:val="single"/>
          </w:rPr>
          <w:t>http://www.abenge.org.br/cobenge/arquivos/5/Artigos/129294.pdf</w:t>
        </w:r>
      </w:hyperlink>
      <w:r>
        <w:rPr>
          <w:sz w:val="24"/>
          <w:szCs w:val="24"/>
        </w:rPr>
        <w:t>. Acesso em 20 dez.2020.</w:t>
      </w:r>
    </w:p>
    <w:p w14:paraId="1ED0E2B8" w14:textId="77777777" w:rsidR="007C7991" w:rsidRDefault="007C7991">
      <w:pPr>
        <w:tabs>
          <w:tab w:val="left" w:pos="709"/>
        </w:tabs>
        <w:rPr>
          <w:sz w:val="24"/>
          <w:szCs w:val="24"/>
          <w:highlight w:val="yellow"/>
        </w:rPr>
      </w:pPr>
    </w:p>
    <w:p w14:paraId="1ED0E2B9" w14:textId="77777777" w:rsidR="007C7991" w:rsidRDefault="009D0A91">
      <w:pPr>
        <w:tabs>
          <w:tab w:val="left" w:pos="709"/>
        </w:tabs>
        <w:rPr>
          <w:b/>
          <w:i/>
          <w:sz w:val="24"/>
          <w:szCs w:val="24"/>
        </w:rPr>
      </w:pPr>
      <w:r>
        <w:rPr>
          <w:b/>
          <w:i/>
          <w:sz w:val="24"/>
          <w:szCs w:val="24"/>
        </w:rPr>
        <w:t>Internet:</w:t>
      </w:r>
    </w:p>
    <w:p w14:paraId="1ED0E2BA" w14:textId="77777777" w:rsidR="007C7991" w:rsidRDefault="009D0A91">
      <w:pPr>
        <w:tabs>
          <w:tab w:val="left" w:pos="709"/>
        </w:tabs>
        <w:rPr>
          <w:sz w:val="24"/>
          <w:szCs w:val="24"/>
        </w:rPr>
      </w:pPr>
      <w:r>
        <w:rPr>
          <w:color w:val="000000"/>
          <w:sz w:val="24"/>
          <w:szCs w:val="24"/>
        </w:rPr>
        <w:t xml:space="preserve">MOURA, G. C. de M. </w:t>
      </w:r>
      <w:r>
        <w:rPr>
          <w:b/>
          <w:color w:val="000000"/>
          <w:sz w:val="24"/>
          <w:szCs w:val="24"/>
        </w:rPr>
        <w:t xml:space="preserve">Citação de referências e documentos eletrônicos. </w:t>
      </w:r>
      <w:r>
        <w:rPr>
          <w:color w:val="000000"/>
          <w:sz w:val="24"/>
          <w:szCs w:val="24"/>
        </w:rPr>
        <w:t xml:space="preserve">Disponível em: </w:t>
      </w:r>
      <w:hyperlink r:id="rId14">
        <w:r>
          <w:rPr>
            <w:color w:val="0000FF"/>
            <w:sz w:val="24"/>
            <w:szCs w:val="24"/>
            <w:u w:val="single"/>
          </w:rPr>
          <w:t>http://www.elogica.com.br/users/gmoura/refere.html</w:t>
        </w:r>
      </w:hyperlink>
      <w:r>
        <w:rPr>
          <w:color w:val="000000"/>
          <w:sz w:val="24"/>
          <w:szCs w:val="24"/>
        </w:rPr>
        <w:t>. Acesso em: 09 out. 1996.</w:t>
      </w:r>
    </w:p>
    <w:p w14:paraId="1ED0E2BB" w14:textId="77777777" w:rsidR="007C7991" w:rsidRDefault="007C7991">
      <w:pPr>
        <w:tabs>
          <w:tab w:val="left" w:pos="709"/>
        </w:tabs>
        <w:rPr>
          <w:sz w:val="24"/>
          <w:szCs w:val="24"/>
        </w:rPr>
      </w:pPr>
    </w:p>
    <w:p w14:paraId="1ED0E2BC" w14:textId="77777777" w:rsidR="007C7991" w:rsidRDefault="009D0A91">
      <w:pPr>
        <w:tabs>
          <w:tab w:val="left" w:pos="709"/>
        </w:tabs>
        <w:rPr>
          <w:b/>
          <w:i/>
          <w:sz w:val="24"/>
          <w:szCs w:val="24"/>
        </w:rPr>
      </w:pPr>
      <w:r>
        <w:rPr>
          <w:b/>
          <w:i/>
          <w:sz w:val="24"/>
          <w:szCs w:val="24"/>
        </w:rPr>
        <w:t>Normas:</w:t>
      </w:r>
    </w:p>
    <w:p w14:paraId="1ED0E2BD" w14:textId="77777777" w:rsidR="007C7991" w:rsidRDefault="009D0A91">
      <w:pPr>
        <w:tabs>
          <w:tab w:val="left" w:pos="709"/>
        </w:tabs>
        <w:rPr>
          <w:sz w:val="24"/>
          <w:szCs w:val="24"/>
        </w:rPr>
      </w:pPr>
      <w:r>
        <w:rPr>
          <w:sz w:val="24"/>
          <w:szCs w:val="24"/>
        </w:rPr>
        <w:t xml:space="preserve">ASSOCIAÇÃO BRASILEIRA DE NORMAS TÉCNICAS. </w:t>
      </w:r>
      <w:r>
        <w:rPr>
          <w:b/>
          <w:sz w:val="24"/>
          <w:szCs w:val="24"/>
        </w:rPr>
        <w:t>NBR 14724</w:t>
      </w:r>
      <w:r>
        <w:rPr>
          <w:sz w:val="24"/>
          <w:szCs w:val="24"/>
        </w:rPr>
        <w:t>: informação e documentação – trabalhos acadêmicos – apresentação. Rio de Janeiro, 2011.</w:t>
      </w:r>
    </w:p>
    <w:p w14:paraId="1ED0E2BE" w14:textId="77777777" w:rsidR="007C7991" w:rsidRDefault="007C7991">
      <w:pPr>
        <w:tabs>
          <w:tab w:val="left" w:pos="709"/>
        </w:tabs>
        <w:rPr>
          <w:sz w:val="24"/>
          <w:szCs w:val="24"/>
        </w:rPr>
      </w:pPr>
    </w:p>
    <w:p w14:paraId="1ED0E2BF" w14:textId="77777777" w:rsidR="007C7991" w:rsidRDefault="007C7991">
      <w:pPr>
        <w:tabs>
          <w:tab w:val="left" w:pos="709"/>
        </w:tabs>
        <w:rPr>
          <w:sz w:val="24"/>
          <w:szCs w:val="24"/>
        </w:rPr>
      </w:pPr>
    </w:p>
    <w:p w14:paraId="1ED0E2C0" w14:textId="77777777" w:rsidR="007C7991" w:rsidRDefault="009D0A91">
      <w:pPr>
        <w:tabs>
          <w:tab w:val="left" w:pos="709"/>
        </w:tabs>
        <w:rPr>
          <w:b/>
          <w:i/>
          <w:sz w:val="24"/>
          <w:szCs w:val="24"/>
        </w:rPr>
      </w:pPr>
      <w:r>
        <w:rPr>
          <w:b/>
          <w:i/>
          <w:sz w:val="24"/>
          <w:szCs w:val="24"/>
        </w:rPr>
        <w:t>Dados e softwares abertos:</w:t>
      </w:r>
    </w:p>
    <w:p w14:paraId="1ED0E2C1" w14:textId="77777777" w:rsidR="007C7991" w:rsidRPr="0011531E" w:rsidRDefault="009D0A91">
      <w:pPr>
        <w:tabs>
          <w:tab w:val="left" w:pos="709"/>
        </w:tabs>
        <w:rPr>
          <w:sz w:val="24"/>
          <w:szCs w:val="24"/>
          <w:lang w:val="en-US"/>
        </w:rPr>
      </w:pPr>
      <w:r>
        <w:rPr>
          <w:sz w:val="24"/>
          <w:szCs w:val="24"/>
        </w:rPr>
        <w:t xml:space="preserve">AVES do Amapá: banco de dados. Disponível em: </w:t>
      </w:r>
      <w:hyperlink r:id="rId15">
        <w:r>
          <w:rPr>
            <w:color w:val="0000FF"/>
            <w:sz w:val="24"/>
            <w:szCs w:val="24"/>
            <w:u w:val="single"/>
          </w:rPr>
          <w:t>http://www.bdt.org/bdt/avifauna/aves</w:t>
        </w:r>
      </w:hyperlink>
      <w:r>
        <w:rPr>
          <w:sz w:val="24"/>
          <w:szCs w:val="24"/>
        </w:rPr>
        <w:t xml:space="preserve">. </w:t>
      </w:r>
      <w:proofErr w:type="spellStart"/>
      <w:r w:rsidRPr="0011531E">
        <w:rPr>
          <w:sz w:val="24"/>
          <w:szCs w:val="24"/>
          <w:lang w:val="en-US"/>
        </w:rPr>
        <w:t>Acesso</w:t>
      </w:r>
      <w:proofErr w:type="spellEnd"/>
      <w:r w:rsidRPr="0011531E">
        <w:rPr>
          <w:sz w:val="24"/>
          <w:szCs w:val="24"/>
          <w:lang w:val="en-US"/>
        </w:rPr>
        <w:t xml:space="preserve"> </w:t>
      </w:r>
      <w:proofErr w:type="spellStart"/>
      <w:r w:rsidRPr="0011531E">
        <w:rPr>
          <w:sz w:val="24"/>
          <w:szCs w:val="24"/>
          <w:lang w:val="en-US"/>
        </w:rPr>
        <w:t>em</w:t>
      </w:r>
      <w:proofErr w:type="spellEnd"/>
      <w:r w:rsidRPr="0011531E">
        <w:rPr>
          <w:sz w:val="24"/>
          <w:szCs w:val="24"/>
          <w:lang w:val="en-US"/>
        </w:rPr>
        <w:t xml:space="preserve">: 25 </w:t>
      </w:r>
      <w:proofErr w:type="spellStart"/>
      <w:r w:rsidRPr="0011531E">
        <w:rPr>
          <w:sz w:val="24"/>
          <w:szCs w:val="24"/>
          <w:lang w:val="en-US"/>
        </w:rPr>
        <w:t>nov.</w:t>
      </w:r>
      <w:proofErr w:type="spellEnd"/>
      <w:r w:rsidRPr="0011531E">
        <w:rPr>
          <w:sz w:val="24"/>
          <w:szCs w:val="24"/>
          <w:lang w:val="en-US"/>
        </w:rPr>
        <w:t xml:space="preserve"> 1998.</w:t>
      </w:r>
      <w:r w:rsidRPr="0011531E">
        <w:rPr>
          <w:b/>
          <w:i/>
          <w:sz w:val="24"/>
          <w:szCs w:val="24"/>
          <w:lang w:val="en-US"/>
        </w:rPr>
        <w:t xml:space="preserve"> </w:t>
      </w:r>
    </w:p>
    <w:p w14:paraId="1ED0E2C2" w14:textId="77777777" w:rsidR="007C7991" w:rsidRPr="0011531E" w:rsidRDefault="007C7991">
      <w:pPr>
        <w:tabs>
          <w:tab w:val="left" w:pos="709"/>
        </w:tabs>
        <w:rPr>
          <w:sz w:val="24"/>
          <w:szCs w:val="24"/>
          <w:lang w:val="en-US"/>
        </w:rPr>
      </w:pPr>
    </w:p>
    <w:p w14:paraId="1ED0E2C3" w14:textId="77777777" w:rsidR="007C7991" w:rsidRPr="0011531E" w:rsidRDefault="007C7991">
      <w:pPr>
        <w:tabs>
          <w:tab w:val="left" w:pos="709"/>
        </w:tabs>
        <w:jc w:val="center"/>
        <w:rPr>
          <w:b/>
          <w:smallCaps/>
          <w:color w:val="000000"/>
          <w:sz w:val="24"/>
          <w:szCs w:val="24"/>
          <w:lang w:val="en-US"/>
        </w:rPr>
      </w:pPr>
    </w:p>
    <w:p w14:paraId="1ED0E2C4" w14:textId="77777777" w:rsidR="007C7991" w:rsidRPr="0011531E" w:rsidRDefault="009D0A91">
      <w:pPr>
        <w:tabs>
          <w:tab w:val="left" w:pos="709"/>
        </w:tabs>
        <w:jc w:val="center"/>
        <w:rPr>
          <w:color w:val="000000"/>
          <w:sz w:val="24"/>
          <w:szCs w:val="24"/>
          <w:lang w:val="en-US"/>
        </w:rPr>
      </w:pPr>
      <w:r w:rsidRPr="0011531E">
        <w:rPr>
          <w:b/>
          <w:smallCaps/>
          <w:color w:val="000000"/>
          <w:sz w:val="24"/>
          <w:szCs w:val="24"/>
          <w:lang w:val="en-US"/>
        </w:rPr>
        <w:t>INSTRUCTIONS FOR PREPARATION AND SUBMISSION OF MANUSCRIPTS TO THE SCIENTIFIC COMMITTEE OF THE 53º BRAZILIAN CONGRESS ON ENGINEERING EDUCATION AND VIII INTERNATIONAL SYMPOSIUM ON EDUCATION IN ENGINEERING – COBENGE 2025</w:t>
      </w:r>
    </w:p>
    <w:p w14:paraId="1ED0E2C5" w14:textId="77777777" w:rsidR="007C7991" w:rsidRPr="0011531E" w:rsidRDefault="007C7991">
      <w:pPr>
        <w:tabs>
          <w:tab w:val="left" w:pos="709"/>
        </w:tabs>
        <w:rPr>
          <w:sz w:val="24"/>
          <w:szCs w:val="24"/>
          <w:lang w:val="en-US"/>
        </w:rPr>
      </w:pPr>
    </w:p>
    <w:p w14:paraId="1ED0E2C6" w14:textId="77777777" w:rsidR="007C7991" w:rsidRPr="0011531E" w:rsidRDefault="007C7991">
      <w:pPr>
        <w:tabs>
          <w:tab w:val="left" w:pos="709"/>
        </w:tabs>
        <w:rPr>
          <w:sz w:val="24"/>
          <w:szCs w:val="24"/>
          <w:lang w:val="en-US"/>
        </w:rPr>
      </w:pPr>
    </w:p>
    <w:p w14:paraId="1ED0E2C7" w14:textId="77777777" w:rsidR="007C7991" w:rsidRPr="0011531E" w:rsidRDefault="009D0A91">
      <w:pPr>
        <w:tabs>
          <w:tab w:val="left" w:pos="709"/>
        </w:tabs>
        <w:rPr>
          <w:i/>
          <w:sz w:val="24"/>
          <w:szCs w:val="24"/>
          <w:lang w:val="en-US"/>
        </w:rPr>
      </w:pPr>
      <w:r w:rsidRPr="0011531E">
        <w:rPr>
          <w:b/>
          <w:i/>
          <w:sz w:val="24"/>
          <w:szCs w:val="24"/>
          <w:lang w:val="en-US"/>
        </w:rPr>
        <w:t>Abstract:</w:t>
      </w:r>
      <w:r w:rsidRPr="0011531E">
        <w:rPr>
          <w:i/>
          <w:sz w:val="24"/>
          <w:szCs w:val="24"/>
          <w:lang w:val="en-US"/>
        </w:rPr>
        <w:t xml:space="preserve"> This document presents detailed instructions...</w:t>
      </w:r>
    </w:p>
    <w:p w14:paraId="1ED0E2C8" w14:textId="77777777" w:rsidR="007C7991" w:rsidRPr="0011531E" w:rsidRDefault="007C7991">
      <w:pPr>
        <w:tabs>
          <w:tab w:val="left" w:pos="709"/>
        </w:tabs>
        <w:rPr>
          <w:i/>
          <w:sz w:val="24"/>
          <w:szCs w:val="24"/>
          <w:lang w:val="en-US"/>
        </w:rPr>
      </w:pPr>
    </w:p>
    <w:p w14:paraId="1ED0E2C9" w14:textId="77777777" w:rsidR="007C7991" w:rsidRPr="0011531E" w:rsidRDefault="009D0A91">
      <w:pPr>
        <w:tabs>
          <w:tab w:val="left" w:pos="709"/>
        </w:tabs>
        <w:rPr>
          <w:sz w:val="24"/>
          <w:szCs w:val="24"/>
          <w:lang w:val="en-US"/>
        </w:rPr>
      </w:pPr>
      <w:r w:rsidRPr="0011531E">
        <w:rPr>
          <w:b/>
          <w:i/>
          <w:sz w:val="24"/>
          <w:szCs w:val="24"/>
          <w:lang w:val="en-US"/>
        </w:rPr>
        <w:t>Keywords:</w:t>
      </w:r>
      <w:r w:rsidRPr="0011531E">
        <w:rPr>
          <w:i/>
          <w:sz w:val="24"/>
          <w:szCs w:val="24"/>
          <w:lang w:val="en-US"/>
        </w:rPr>
        <w:t xml:space="preserve"> first one, second word …</w:t>
      </w:r>
    </w:p>
    <w:p w14:paraId="1ED0E2CA" w14:textId="77777777" w:rsidR="007C7991" w:rsidRPr="0011531E" w:rsidRDefault="007C7991">
      <w:pPr>
        <w:rPr>
          <w:lang w:val="en-US"/>
        </w:rPr>
      </w:pPr>
    </w:p>
    <w:p w14:paraId="1ED0E2CB" w14:textId="77777777" w:rsidR="007C7991" w:rsidRPr="0011531E" w:rsidRDefault="007C7991">
      <w:pPr>
        <w:rPr>
          <w:lang w:val="en-US"/>
        </w:rPr>
      </w:pPr>
    </w:p>
    <w:p>
      <w:r>
        <w:br w:type="page"/>
      </w:r>
    </w:p>
    <w:p>
      <w:pPr>
        <w:spacing w:after="0" w:line="240" w:lineRule="auto"/>
        <w:ind w:firstLine="706"/>
        <w:jc w:val="both"/>
      </w:pPr>
      <w:r>
        <w:rPr>
          <w:rFonts w:ascii="Arial" w:hAnsi="Arial"/>
          <w:sz w:val="24"/>
        </w:rPr>
        <w:t># An Analysis of QKD BB84 Protocol Implementation over Real IBM Quantum Processors vs. Simulation (Uma Análise da Implementação do Protocolo QKD BB84 em Processadores Quânticos Reais IBM vs. Simulação)</w:t>
      </w:r>
    </w:p>
    <w:p>
      <w:pPr>
        <w:spacing w:before="240" w:after="240"/>
      </w:pPr>
      <w:r>
        <w:rPr>
          <w:rFonts w:ascii="Arial" w:hAnsi="Arial"/>
          <w:b/>
          <w:sz w:val="24"/>
        </w:rPr>
        <w:t>1. INTRODUÇÃO</w:t>
      </w:r>
    </w:p>
    <w:p>
      <w:pPr>
        <w:spacing w:after="0" w:line="240" w:lineRule="auto"/>
        <w:ind w:firstLine="706"/>
        <w:jc w:val="both"/>
      </w:pPr>
      <w:r>
        <w:rPr>
          <w:rFonts w:ascii="Arial" w:hAnsi="Arial"/>
          <w:sz w:val="24"/>
        </w:rPr>
        <w:t>A base da segurança da informação moderna está ancorada em problemas matemáticos complexos. Protocolos clássicos, como o RSA, confiam inteiramente na extrema dificuldade computacional de fatorar grandes números primos. O problema real surge com a iminência da computação quântica de larga escala: algoritmos como o de Shor provam matematicamente que computadores quânticos poderão quebrar essas chaves em tempo polinomial. É para solucionar essa vulnerabilidade fatal que a Distribuição de Chaves Quânticas (QKD - _Quantum Key Distribution_) ganha destaque. Em vez de depender de complexidade matemática, a QKD utiliza as leis fundamentais da física quântica para garantir uma segurança incondicional.</w:t>
      </w:r>
    </w:p>
    <w:p>
      <w:pPr>
        <w:spacing w:after="0" w:line="240" w:lineRule="auto"/>
        <w:ind w:firstLine="706"/>
        <w:jc w:val="both"/>
      </w:pPr>
      <w:r>
        <w:rPr>
          <w:rFonts w:ascii="Arial" w:hAnsi="Arial"/>
          <w:sz w:val="24"/>
        </w:rPr>
        <w:t>Este trabalho tem como objetivo central reproduzir e analisar a implementação proposta no artigo "An Analysis of QKD BB84 Protocol Implementation over Real IBM Quantum Processors vs. Simulation" (Uma Análise da Implementação do Protocolo QKD BB84 em Processadores Quânticos Reais IBM vs. Simulação), de Saeed et al. (2023). Nossa proposta é demonstrar, na prática, como ocorre a troca de chaves criptográficas utilizando o protocolo BB84 e evidenciar como a presença de um interceptador (Eve) é naturalmente detectada pelo colapso da função de onda.</w:t>
      </w:r>
    </w:p>
    <w:p>
      <w:pPr>
        <w:spacing w:before="240" w:after="240"/>
      </w:pPr>
      <w:r>
        <w:rPr>
          <w:rFonts w:ascii="Arial" w:hAnsi="Arial"/>
          <w:b/>
          <w:sz w:val="24"/>
        </w:rPr>
        <w:t>2. METODOLOGIA</w:t>
      </w:r>
    </w:p>
    <w:p>
      <w:pPr>
        <w:spacing w:after="0" w:line="240" w:lineRule="auto"/>
        <w:ind w:firstLine="706"/>
        <w:jc w:val="both"/>
      </w:pPr>
      <w:r>
        <w:rPr>
          <w:rFonts w:ascii="Arial" w:hAnsi="Arial"/>
          <w:sz w:val="24"/>
        </w:rPr>
        <w:t>Para colocar o experimento em prática e responder às questões estruturais da pesquisa, adotamos o ecossistema da IBM. Toda a nossa implementação foi desenvolvida na linguagem Python, utilizando o framework Qiskit, dispensando o uso de interfaces visuais arrastar-e-soltar como o IBM Quantum Composer, a fim de termos controle total sobre as lógicas de automação e medição.</w:t>
      </w:r>
    </w:p>
    <w:p>
      <w:pPr>
        <w:spacing w:after="0" w:line="240" w:lineRule="auto"/>
        <w:ind w:firstLine="706"/>
        <w:jc w:val="both"/>
      </w:pPr>
      <w:r>
        <w:rPr>
          <w:rFonts w:ascii="Arial" w:hAnsi="Arial"/>
          <w:sz w:val="24"/>
        </w:rPr>
        <w:t>O circuito base utilizado no experimento consiste em um registro de 4 qubits. O protocolo BB84 foi programado simulando três entidades: Alice (emissora), Bob (receptor) e Eve (espiã). O fluxo metodológico seguiu as seguintes etapas:</w:t>
      </w:r>
    </w:p>
    <w:p>
      <w:pPr>
        <w:spacing w:after="0" w:line="240" w:lineRule="auto"/>
        <w:ind w:firstLine="706"/>
        <w:jc w:val="both"/>
      </w:pPr>
      <w:r>
        <w:rPr>
          <w:rFonts w:ascii="Arial" w:hAnsi="Arial"/>
          <w:sz w:val="24"/>
        </w:rPr>
        <w:t>1. **Codificação (Alice):** Alice gera uma sequência aleatória de 4 bits. Em seguida, ela escolhe bases aleatórias (Retilínea, operando com estados $|0\rangle$ e $|1\rangle$, ou Diagonal, aplicando portas lógicas Hadamard, $H$, para criar superposição). Esses qubits são injetados no canal quântico.</w:t>
      </w:r>
    </w:p>
    <w:p>
      <w:pPr>
        <w:spacing w:after="0" w:line="240" w:lineRule="auto"/>
        <w:ind w:firstLine="706"/>
        <w:jc w:val="both"/>
      </w:pPr>
      <w:r>
        <w:rPr>
          <w:rFonts w:ascii="Arial" w:hAnsi="Arial"/>
          <w:sz w:val="24"/>
        </w:rPr>
        <w:t>2. **Medição (Bob):** No outro extremo, Bob recebe os qubits e também aplica bases aleatórias para medi-los.</w:t>
      </w:r>
    </w:p>
    <w:p>
      <w:pPr>
        <w:spacing w:after="0" w:line="240" w:lineRule="auto"/>
        <w:ind w:firstLine="706"/>
        <w:jc w:val="both"/>
      </w:pPr>
      <w:r>
        <w:rPr>
          <w:rFonts w:ascii="Arial" w:hAnsi="Arial"/>
          <w:sz w:val="24"/>
        </w:rPr>
        <w:t>3. **Peneiramento (Sifting):** Alice e Bob comparam publicamente quais bases usaram (mas nunca os resultados das medições). Os bits onde as bases coincidiram formam a chave final segura.</w:t>
      </w:r>
    </w:p>
    <w:p>
      <w:pPr>
        <w:spacing w:after="0" w:line="240" w:lineRule="auto"/>
        <w:ind w:firstLine="706"/>
        <w:jc w:val="both"/>
      </w:pPr>
      <w:r>
        <w:rPr>
          <w:rFonts w:ascii="Arial" w:hAnsi="Arial"/>
          <w:sz w:val="24"/>
        </w:rPr>
        <w:t>Para testar a resiliência do modelo, rodamos o experimento em dois cenários. O primeiro foi feito localmente utilizando o simulador clássico do Qiskit (`qasm_simulator`), que nos forneceu um ambiente livre de ruídos para validação lógica. Em seguida, analisamos o comportamento desses mesmos circuitos quando submetidos a um processador quântico real da IBM Cloud (como o hardware `ibmqx2` referenciado no artigo base, sujeito a ruído térmico e erros de porta lógica).</w:t>
      </w:r>
    </w:p>
    <w:p>
      <w:pPr>
        <w:spacing w:after="0" w:line="240" w:lineRule="auto"/>
        <w:ind w:firstLine="706"/>
        <w:jc w:val="both"/>
      </w:pPr>
      <w:r>
        <w:rPr>
          <w:rFonts w:ascii="Arial" w:hAnsi="Arial"/>
          <w:sz w:val="24"/>
        </w:rPr>
        <w:t>_[Inserir aqui a Imagem gerada: circuito_bb84.png. Sugestão de legenda: Figura 1 - Diagrama do circuito quântico de 4 qubits gerado via Qiskit.]_</w:t>
      </w:r>
    </w:p>
    <w:p>
      <w:pPr>
        <w:spacing w:before="240" w:after="240"/>
      </w:pPr>
      <w:r>
        <w:rPr>
          <w:rFonts w:ascii="Arial" w:hAnsi="Arial"/>
          <w:b/>
          <w:sz w:val="24"/>
        </w:rPr>
        <w:t>3. RESULTADOS E DISCUSSÃO</w:t>
      </w:r>
    </w:p>
    <w:p>
      <w:pPr>
        <w:spacing w:after="0" w:line="240" w:lineRule="auto"/>
        <w:ind w:firstLine="706"/>
        <w:jc w:val="both"/>
      </w:pPr>
      <w:r>
        <w:rPr>
          <w:rFonts w:ascii="Arial" w:hAnsi="Arial"/>
          <w:sz w:val="24"/>
        </w:rPr>
        <w:t>Ao executar nosso código no simulador clássico sem qualquer interferência externa, o comportamento da distribuição de chaves foi perfeito. Quando comparamos as bases de Alice e Bob, nos casos em que ambos escolheram o mesmo alinhamento, a probabilidade de leitura correta do estado foi cravada, dividindo-se perfeitamente entre os estados esperados da chave.</w:t>
      </w:r>
    </w:p>
    <w:p>
      <w:pPr>
        <w:spacing w:after="0" w:line="240" w:lineRule="auto"/>
        <w:ind w:firstLine="706"/>
        <w:jc w:val="both"/>
      </w:pPr>
      <w:r>
        <w:rPr>
          <w:rFonts w:ascii="Arial" w:hAnsi="Arial"/>
          <w:sz w:val="24"/>
        </w:rPr>
        <w:t>O cenário muda drasticamente quando forçamos a inserção de "Eve" no código. Simulamos a espiã interceptando os qubits no meio do trajeto, aplicando suas próprias bases de medição aleatórias e reenviando as partículas para Bob. Devido ao Teorema da Não-Clonagem da mecânica quântica, a simples tentativa de leitura por parte de Eve colapsa o estado original. Como resultado nos histogramas do Qiskit, a taxa de erro nos bits que deveriam ser idênticos entre Alice e Bob saltou de 0% para aproximadamente 25% (Quantum Bit Error Rate - QBER). Essa alteração violenta na distribuição de probabilidade é a "prova física" de que a linha foi grampeada.</w:t>
      </w:r>
    </w:p>
    <w:p>
      <w:pPr>
        <w:spacing w:after="0" w:line="240" w:lineRule="auto"/>
        <w:ind w:firstLine="706"/>
        <w:jc w:val="both"/>
      </w:pPr>
      <w:r>
        <w:rPr>
          <w:rFonts w:ascii="Arial" w:hAnsi="Arial"/>
          <w:sz w:val="24"/>
        </w:rPr>
        <w:t>_[Inserir aqui os histogramas: histograma_sem_eve.png e histograma_com_eve.png lado a lado. Sugestão de legenda: Figura 2 - Comparativo da distribuição de probabilidades entre um canal limpo e um canal interceptado no qasm_simulator.]_</w:t>
      </w:r>
    </w:p>
    <w:p>
      <w:pPr>
        <w:spacing w:after="0" w:line="240" w:lineRule="auto"/>
        <w:ind w:firstLine="706"/>
        <w:jc w:val="both"/>
      </w:pPr>
      <w:r>
        <w:rPr>
          <w:rFonts w:ascii="Arial" w:hAnsi="Arial"/>
          <w:sz w:val="24"/>
        </w:rPr>
        <w:t>Ao analisar o paralelismo com os dados do processador quântico real (hardware NISQ), observamos um desafio prático: a máquina real introduz erros próprios devido à decoerência quântica. Diferente do simulador perfeito, o chip físico gera um "ruído de fundo", criando pequenas probabilidades de estados errôneos mesmo sem a presença de um espião. Contudo, os picos de sinal verdadeiro ainda se mantêm estatisticamente distinguíveis do ruído natural, validando o protocolo.</w:t>
      </w:r>
    </w:p>
    <w:p>
      <w:pPr>
        <w:spacing w:before="240" w:after="240"/>
      </w:pPr>
      <w:r>
        <w:rPr>
          <w:rFonts w:ascii="Arial" w:hAnsi="Arial"/>
          <w:b/>
          <w:sz w:val="24"/>
        </w:rPr>
        <w:t>4. CONCLUSÃO</w:t>
      </w:r>
    </w:p>
    <w:p>
      <w:pPr>
        <w:spacing w:after="0" w:line="240" w:lineRule="auto"/>
        <w:ind w:firstLine="706"/>
        <w:jc w:val="both"/>
      </w:pPr>
      <w:r>
        <w:rPr>
          <w:rFonts w:ascii="Arial" w:hAnsi="Arial"/>
          <w:sz w:val="24"/>
        </w:rPr>
        <w:t>Ao final da nossa implementação, fica claro que o protocolo BB84 não é apenas uma teoria elegante, mas uma ferramenta perfeitamente executável por meio de frameworks como o Qiskit. Conseguimos resolver o problema central da distribuição segura de chaves, provando que a própria física atua como o sistema de alarme contra interceptações.</w:t>
      </w:r>
    </w:p>
    <w:p>
      <w:pPr>
        <w:spacing w:after="0" w:line="240" w:lineRule="auto"/>
        <w:ind w:firstLine="706"/>
        <w:jc w:val="both"/>
      </w:pPr>
      <w:r>
        <w:rPr>
          <w:rFonts w:ascii="Arial" w:hAnsi="Arial"/>
          <w:sz w:val="24"/>
        </w:rPr>
        <w:t>Apesar do sucesso do experimento, é importante destacar as limitações atuais da tecnologia. A nossa execução restringiu-se a um registro de 4 qubits como prova de conceito, enquanto redes QKD reais exigiriam escalar isso para centenas de qubits (512+). Além disso, o ruído intrínseco aos computadores quânticos de escala intermediária (NISQ) atuais, como a família `ibmqx`, cria um desafio de engenharia: as taxas de erro naturais do hardware muitas vezes se misturam à margem de erro que denotaria uma espionagem, exigindo a implementação de protocolos robustos de correção de erro e amplificação de privacidade antes que esses sistemas dominem o mercado corporativo.</w:t>
      </w:r>
    </w:p>
    <w:p>
      <w:pPr>
        <w:spacing w:before="240" w:after="240"/>
      </w:pPr>
      <w:r>
        <w:rPr>
          <w:rFonts w:ascii="Arial" w:hAnsi="Arial"/>
          <w:b/>
          <w:sz w:val="24"/>
        </w:rPr>
        <w:t>REFERÊNCIAS BIBLIOGRÁFICAS</w:t>
      </w:r>
    </w:p>
    <w:p>
      <w:pPr>
        <w:spacing w:after="0" w:line="240" w:lineRule="auto"/>
        <w:ind w:firstLine="706"/>
        <w:jc w:val="both"/>
      </w:pPr>
      <w:r>
        <w:rPr>
          <w:rFonts w:ascii="Arial" w:hAnsi="Arial"/>
          <w:sz w:val="24"/>
        </w:rPr>
        <w:t>[1] SAEED, M. H.; SATTAR, H.; DURAD, M. H.; HAIDER, Z. "An Analysis of QKD BB84 Protocol Implementation over Real IBM Quantum Processors vs. Simulation". IEEE, 2023. [2] BENNETT, C. H.; BRASSARD, G. "Quantum cryptography: Public key distribution and coin tossing". Proceedings of IEEE International Conference on Computers, Systems and Signal Processing, 1984. [3] WOOTTERS, W. K.; ZUREK, W. H. "A single quantum cannot be cloned". Nature, vol. 299, no. 5886, pp. 802-803, 1982.</w:t>
      </w:r>
    </w:p>
    <w:sectPr w:rsidR="007C7991" w:rsidRPr="0011531E" w:rsidSect="0011531E">
      <w:headerReference w:type="default" r:id="rId16"/>
      <w:footerReference w:type="default" r:id="rId17"/>
      <w:pgSz w:w="11906" w:h="16838"/>
      <w:pgMar w:top="1702" w:right="1134" w:bottom="1134" w:left="85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E2D9" w14:textId="77777777" w:rsidR="009D0A91" w:rsidRDefault="009D0A91">
      <w:r>
        <w:separator/>
      </w:r>
    </w:p>
  </w:endnote>
  <w:endnote w:type="continuationSeparator" w:id="0">
    <w:p w14:paraId="1ED0E2DB" w14:textId="77777777" w:rsidR="009D0A91" w:rsidRDefault="009D0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86CBF11-A7B0-4DF6-AF05-2D8447FA64B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2" w:fontKey="{602E53D2-1B14-42E8-B921-B62674B30A78}"/>
    <w:embedItalic r:id="rId3" w:fontKey="{7E76AC2A-2A72-47BF-822B-F409ED562813}"/>
  </w:font>
  <w:font w:name="Tahoma">
    <w:panose1 w:val="020B0604030504040204"/>
    <w:charset w:val="00"/>
    <w:family w:val="swiss"/>
    <w:pitch w:val="variable"/>
    <w:sig w:usb0="E1002EFF" w:usb1="C000605B" w:usb2="00000029" w:usb3="00000000" w:csb0="000101FF" w:csb1="00000000"/>
    <w:embedRegular r:id="rId4" w:fontKey="{AA091EAB-F38A-41E4-A52A-8A70ACA876C4}"/>
  </w:font>
  <w:font w:name="Calibri">
    <w:panose1 w:val="020F0502020204030204"/>
    <w:charset w:val="00"/>
    <w:family w:val="swiss"/>
    <w:pitch w:val="variable"/>
    <w:sig w:usb0="E4002EFF" w:usb1="C200247B" w:usb2="00000009" w:usb3="00000000" w:csb0="000001FF" w:csb1="00000000"/>
    <w:embedRegular r:id="rId5" w:fontKey="{21C2DB00-F2B9-496E-B6DE-85952751690D}"/>
  </w:font>
  <w:font w:name="Cambria">
    <w:panose1 w:val="02040503050406030204"/>
    <w:charset w:val="00"/>
    <w:family w:val="roman"/>
    <w:pitch w:val="variable"/>
    <w:sig w:usb0="E00006FF" w:usb1="420024FF" w:usb2="02000000" w:usb3="00000000" w:csb0="0000019F" w:csb1="00000000"/>
    <w:embedRegular r:id="rId6" w:fontKey="{314E46C8-0F43-48A2-9795-5DD606EE84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4" w14:textId="77777777" w:rsidR="007C7991" w:rsidRDefault="009D0A91">
    <w:pPr>
      <w:pBdr>
        <w:top w:val="nil"/>
        <w:left w:val="nil"/>
        <w:bottom w:val="nil"/>
        <w:right w:val="nil"/>
        <w:between w:val="nil"/>
      </w:pBdr>
      <w:tabs>
        <w:tab w:val="center" w:pos="4252"/>
        <w:tab w:val="right" w:pos="8504"/>
      </w:tabs>
      <w:jc w:val="left"/>
      <w:rPr>
        <w:color w:val="000000"/>
        <w:sz w:val="2"/>
        <w:szCs w:val="2"/>
      </w:rPr>
    </w:pPr>
    <w:r>
      <w:rPr>
        <w:noProof/>
        <w:sz w:val="2"/>
        <w:szCs w:val="2"/>
      </w:rPr>
      <w:drawing>
        <wp:inline distT="114300" distB="114300" distL="114300" distR="114300" wp14:anchorId="1ED0E2D7" wp14:editId="7D830B2A">
          <wp:extent cx="6374765" cy="715643"/>
          <wp:effectExtent l="0" t="0" r="0" b="8890"/>
          <wp:docPr id="151825004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6590755" cy="739890"/>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E2D5" w14:textId="77777777" w:rsidR="009D0A91" w:rsidRDefault="009D0A91">
      <w:r>
        <w:separator/>
      </w:r>
    </w:p>
  </w:footnote>
  <w:footnote w:type="continuationSeparator" w:id="0">
    <w:p w14:paraId="1ED0E2D7" w14:textId="77777777" w:rsidR="009D0A91" w:rsidRDefault="009D0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2" w14:textId="77777777" w:rsidR="007C7991" w:rsidRDefault="007C7991">
    <w:pPr>
      <w:pBdr>
        <w:top w:val="nil"/>
        <w:left w:val="nil"/>
        <w:bottom w:val="nil"/>
        <w:right w:val="nil"/>
        <w:between w:val="nil"/>
      </w:pBdr>
      <w:tabs>
        <w:tab w:val="center" w:pos="4252"/>
        <w:tab w:val="right" w:pos="8504"/>
      </w:tabs>
      <w:rPr>
        <w:color w:val="000000"/>
        <w:sz w:val="2"/>
        <w:szCs w:val="2"/>
      </w:rPr>
    </w:pPr>
  </w:p>
  <w:p w14:paraId="1ED0E2D3" w14:textId="77777777" w:rsidR="007C7991" w:rsidRDefault="009D0A91" w:rsidP="00EB67A7">
    <w:pPr>
      <w:tabs>
        <w:tab w:val="center" w:pos="4252"/>
        <w:tab w:val="right" w:pos="8504"/>
      </w:tabs>
      <w:ind w:left="-851"/>
      <w:rPr>
        <w:color w:val="000000"/>
        <w:sz w:val="2"/>
        <w:szCs w:val="2"/>
      </w:rPr>
    </w:pPr>
    <w:r>
      <w:rPr>
        <w:noProof/>
        <w:sz w:val="2"/>
        <w:szCs w:val="2"/>
      </w:rPr>
      <w:drawing>
        <wp:inline distT="114300" distB="114300" distL="114300" distR="114300" wp14:anchorId="1ED0E2D5" wp14:editId="4205A8C7">
          <wp:extent cx="7539491" cy="1082040"/>
          <wp:effectExtent l="0" t="0" r="4445" b="3810"/>
          <wp:docPr id="18224510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59273" cy="1099231"/>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F1703"/>
    <w:multiLevelType w:val="multilevel"/>
    <w:tmpl w:val="EE18B8E0"/>
    <w:lvl w:ilvl="0">
      <w:start w:val="1"/>
      <w:numFmt w:val="decimal"/>
      <w:lvlText w:val="%1"/>
      <w:lvlJc w:val="left"/>
      <w:pPr>
        <w:ind w:left="720" w:hanging="360"/>
      </w:pPr>
    </w:lvl>
    <w:lvl w:ilvl="1">
      <w:start w:val="1"/>
      <w:numFmt w:val="decimal"/>
      <w:lvlText w:val="%1.%2"/>
      <w:lvlJc w:val="left"/>
      <w:pPr>
        <w:ind w:left="644" w:hanging="359"/>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6C25217B"/>
    <w:multiLevelType w:val="multilevel"/>
    <w:tmpl w:val="6528395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45991238">
    <w:abstractNumId w:val="0"/>
  </w:num>
  <w:num w:numId="2" w16cid:durableId="1436900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991"/>
    <w:rsid w:val="00101E66"/>
    <w:rsid w:val="0011531E"/>
    <w:rsid w:val="00313365"/>
    <w:rsid w:val="007C7991"/>
    <w:rsid w:val="009D0A91"/>
    <w:rsid w:val="00EB6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E221"/>
  <w15:docId w15:val="{BDC960CA-A285-4B69-8B35-FA9467E6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1C8"/>
  </w:style>
  <w:style w:type="paragraph" w:styleId="Ttulo1">
    <w:name w:val="heading 1"/>
    <w:basedOn w:val="Normal"/>
    <w:next w:val="Normal"/>
    <w:uiPriority w:val="9"/>
    <w:qFormat/>
    <w:rsid w:val="004671C8"/>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4671C8"/>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4671C8"/>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4671C8"/>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4671C8"/>
    <w:pPr>
      <w:keepNext/>
      <w:keepLines/>
      <w:spacing w:before="220" w:after="40"/>
      <w:outlineLvl w:val="4"/>
    </w:pPr>
    <w:rPr>
      <w:b/>
    </w:rPr>
  </w:style>
  <w:style w:type="paragraph" w:styleId="Ttulo6">
    <w:name w:val="heading 6"/>
    <w:basedOn w:val="Normal"/>
    <w:next w:val="Normal"/>
    <w:uiPriority w:val="9"/>
    <w:semiHidden/>
    <w:unhideWhenUsed/>
    <w:qFormat/>
    <w:rsid w:val="004671C8"/>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4671C8"/>
    <w:pPr>
      <w:keepNext/>
      <w:keepLines/>
      <w:spacing w:before="480" w:after="120"/>
    </w:pPr>
    <w:rPr>
      <w:b/>
      <w:sz w:val="72"/>
      <w:szCs w:val="72"/>
    </w:rPr>
  </w:style>
  <w:style w:type="table" w:customStyle="1" w:styleId="TableNormal0">
    <w:name w:val="Table Normal"/>
    <w:rsid w:val="004671C8"/>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sid w:val="004671C8"/>
    <w:tblPr>
      <w:tblStyleRowBandSize w:val="1"/>
      <w:tblStyleColBandSize w:val="1"/>
      <w:tblCellMar>
        <w:left w:w="115" w:type="dxa"/>
        <w:right w:w="115" w:type="dxa"/>
      </w:tblCellMar>
    </w:tblPr>
  </w:style>
  <w:style w:type="paragraph" w:styleId="PargrafodaLista">
    <w:name w:val="List Paragraph"/>
    <w:basedOn w:val="Normal"/>
    <w:uiPriority w:val="34"/>
    <w:qFormat/>
    <w:rsid w:val="00713B93"/>
    <w:pPr>
      <w:ind w:left="720"/>
      <w:contextualSpacing/>
    </w:pPr>
  </w:style>
  <w:style w:type="paragraph" w:styleId="Cabealho">
    <w:name w:val="header"/>
    <w:basedOn w:val="Normal"/>
    <w:link w:val="CabealhoChar"/>
    <w:uiPriority w:val="99"/>
    <w:unhideWhenUsed/>
    <w:rsid w:val="00CE4DBD"/>
    <w:pPr>
      <w:tabs>
        <w:tab w:val="center" w:pos="4252"/>
        <w:tab w:val="right" w:pos="8504"/>
      </w:tabs>
    </w:pPr>
  </w:style>
  <w:style w:type="character" w:customStyle="1" w:styleId="CabealhoChar">
    <w:name w:val="Cabeçalho Char"/>
    <w:basedOn w:val="Fontepargpadro"/>
    <w:link w:val="Cabealho"/>
    <w:uiPriority w:val="99"/>
    <w:rsid w:val="00CE4DBD"/>
  </w:style>
  <w:style w:type="paragraph" w:styleId="Rodap">
    <w:name w:val="footer"/>
    <w:basedOn w:val="Normal"/>
    <w:link w:val="RodapChar"/>
    <w:uiPriority w:val="99"/>
    <w:unhideWhenUsed/>
    <w:rsid w:val="00CE4DBD"/>
    <w:pPr>
      <w:tabs>
        <w:tab w:val="center" w:pos="4252"/>
        <w:tab w:val="right" w:pos="8504"/>
      </w:tabs>
    </w:pPr>
  </w:style>
  <w:style w:type="character" w:customStyle="1" w:styleId="RodapChar">
    <w:name w:val="Rodapé Char"/>
    <w:basedOn w:val="Fontepargpadro"/>
    <w:link w:val="Rodap"/>
    <w:uiPriority w:val="99"/>
    <w:rsid w:val="00CE4DBD"/>
  </w:style>
  <w:style w:type="paragraph" w:styleId="Textodebalo">
    <w:name w:val="Balloon Text"/>
    <w:basedOn w:val="Normal"/>
    <w:link w:val="TextodebaloChar"/>
    <w:uiPriority w:val="99"/>
    <w:semiHidden/>
    <w:unhideWhenUsed/>
    <w:rsid w:val="0035277E"/>
    <w:rPr>
      <w:rFonts w:ascii="Tahoma" w:hAnsi="Tahoma" w:cs="Tahoma"/>
      <w:sz w:val="16"/>
      <w:szCs w:val="16"/>
    </w:rPr>
  </w:style>
  <w:style w:type="character" w:customStyle="1" w:styleId="TextodebaloChar">
    <w:name w:val="Texto de balão Char"/>
    <w:basedOn w:val="Fontepargpadro"/>
    <w:link w:val="Textodebalo"/>
    <w:uiPriority w:val="99"/>
    <w:semiHidden/>
    <w:rsid w:val="0035277E"/>
    <w:rPr>
      <w:rFonts w:ascii="Tahoma" w:hAnsi="Tahoma" w:cs="Tahoma"/>
      <w:sz w:val="16"/>
      <w:szCs w:val="16"/>
    </w:rPr>
  </w:style>
  <w:style w:type="character" w:customStyle="1" w:styleId="LinkdaInternet">
    <w:name w:val="Link da Internet"/>
    <w:uiPriority w:val="99"/>
    <w:unhideWhenUsed/>
    <w:rsid w:val="006D3096"/>
    <w:rPr>
      <w:color w:val="0000FF"/>
      <w:u w:val="single"/>
    </w:rPr>
  </w:style>
  <w:style w:type="paragraph" w:customStyle="1" w:styleId="Legenda1">
    <w:name w:val="Legenda1"/>
    <w:basedOn w:val="Normal"/>
    <w:next w:val="Normal"/>
    <w:qFormat/>
    <w:rsid w:val="006D3096"/>
    <w:pPr>
      <w:suppressAutoHyphens/>
      <w:spacing w:before="120" w:after="120"/>
      <w:jc w:val="left"/>
    </w:pPr>
    <w:rPr>
      <w:rFonts w:ascii="Times New Roman" w:eastAsia="Times New Roman" w:hAnsi="Times New Roman" w:cs="Times New Roman"/>
      <w:b/>
      <w:bCs/>
      <w:sz w:val="20"/>
      <w:szCs w:val="20"/>
      <w:lang w:eastAsia="ar-SA"/>
    </w:rPr>
  </w:style>
  <w:style w:type="character" w:styleId="Hyperlink">
    <w:name w:val="Hyperlink"/>
    <w:basedOn w:val="Fontepargpadro"/>
    <w:uiPriority w:val="99"/>
    <w:unhideWhenUsed/>
    <w:rsid w:val="006D3096"/>
    <w:rPr>
      <w:color w:val="0000FF" w:themeColor="hyperlink"/>
      <w:u w:val="single"/>
    </w:r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www.abenge.org.br/cobenge/arquivos/5/Artigos/12929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aude.estadao.com.br/noticias/geral,oms-inclui-a-sindrome-de-burnout-na-lista-de-doencas,7000284514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theon.ufrj.br/handle/11422/10160" TargetMode="External"/><Relationship Id="rId5" Type="http://schemas.openxmlformats.org/officeDocument/2006/relationships/webSettings" Target="webSettings.xml"/><Relationship Id="rId15" Type="http://schemas.openxmlformats.org/officeDocument/2006/relationships/hyperlink" Target="about:blank"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lH8bRdUsziqJKjoowCWqaGTiw==">CgMxLjAyCGguZ2pkZ3hzOAByITEyVVc1bzVxWnFmMnBDM1lBMER3ZE1fdk4tSWJLNEExUQ==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1953</Words>
  <Characters>10551</Characters>
  <Application>Microsoft Office Word</Application>
  <DocSecurity>0</DocSecurity>
  <Lines>87</Lines>
  <Paragraphs>24</Paragraphs>
  <ScaleCrop>false</ScaleCrop>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Tania Regina D. Silva Pereira</dc:creator>
  <cp:lastModifiedBy>Elaine Santana  Silva</cp:lastModifiedBy>
  <cp:revision>5</cp:revision>
  <dcterms:created xsi:type="dcterms:W3CDTF">2025-02-16T17:01:00Z</dcterms:created>
  <dcterms:modified xsi:type="dcterms:W3CDTF">2025-03-11T19:25:00Z</dcterms:modified>
</cp:coreProperties>
</file>