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High Frequency Trades Simulator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Anália Beatriz Ferreira da Cruz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 202119060751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João Pedro de Souza Quintino de Paula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RGA 202019060598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Facom 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Universidade Federal d</w:t>
      </w:r>
      <w:r w:rsidDel="00000000" w:rsidR="00000000" w:rsidRPr="00000000">
        <w:rPr>
          <w:rtl w:val="0"/>
        </w:rPr>
        <w:t xml:space="preserve">e Mato Grosso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do Sul (UF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)</w:t>
        <w:br w:type="textWrapping"/>
        <w:t xml:space="preserve">Caixa Postal </w:t>
      </w:r>
      <w:r w:rsidDel="00000000" w:rsidR="00000000" w:rsidRPr="00000000">
        <w:rPr>
          <w:rtl w:val="0"/>
        </w:rPr>
        <w:t xml:space="preserve">549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  <w:t xml:space="preserve">79070-900 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Campo Grande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headerReference r:id="rId7" w:type="even"/>
          <w:footerReference r:id="rId8" w:type="first"/>
          <w:footerReference r:id="rId9" w:type="even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analia_beatroz@ufms.br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joao.quintino@ufms.br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paper describes the development of an Order Book simulator for a cryptocurrency exchange, implemented purely in PostgreSQL 15+. The system addresses classic high-concurrency challenges using row-level locks and PL/pgSQL triggers to ensure the atomicity of financial transactions and prevent deadlocks. For validation, a multiprocessing Python script was developed to generate a 750 MB data payload, proving the system's consistency in handling complex scenarios such as Partial Fills and cryptographic dust containment.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Este artigo descreve o desenvolvimento de um simulador de Order Book para uma exchange de criptomoedas, implementado puramente em PostgreSQL 15+. O sistema resolve desafios clássicos de alta concorrência utilizando bloqueios a nível de linha e gatilhos em PL/pgSQL para garantir a atomicidade das transações financeiras e evitar deadlocks. Para a validação, desenvolveu-se um script Python multiprocessado responsável por gerar uma carga de dados de 750 MB, atestando a consistência do sistema no tratamento de cenários complexos, como preenchimentos parciais (Partial Fills) e contenção de poeira criptográfica.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Contexto e Justificativa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rtl w:val="0"/>
        </w:rPr>
        <w:t xml:space="preserve">Em exchanges de criptomoedas, o núcleo operacional do sistema é o Order Book, responsável por organizar as intenções de compra (</w:t>
      </w:r>
      <w:r w:rsidDel="00000000" w:rsidR="00000000" w:rsidRPr="00000000">
        <w:rPr>
          <w:i w:val="1"/>
          <w:iCs w:val="1"/>
          <w:rtl w:val="0"/>
        </w:rPr>
        <w:t xml:space="preserve">Bid</w:t>
      </w:r>
      <w:r w:rsidDel="00000000" w:rsidR="00000000" w:rsidRPr="00000000">
        <w:rPr>
          <w:rtl w:val="0"/>
        </w:rPr>
        <w:t xml:space="preserve">) e venda (</w:t>
      </w:r>
      <w:r w:rsidDel="00000000" w:rsidR="00000000" w:rsidRPr="00000000">
        <w:rPr>
          <w:i w:val="1"/>
          <w:i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) de ativos. O principal desafio computacional deste ambiente é o </w:t>
      </w:r>
      <w:r w:rsidDel="00000000" w:rsidR="00000000" w:rsidRPr="00000000">
        <w:rPr>
          <w:i w:val="1"/>
          <w:iCs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, que deve executar transações de forma atômica no exato momento em que os preços se encontram. Este projeto visa solucionar o problema de consistência e concorrência ao centralizar essa regra de negócio inteiramente no banco de dados, lidando com milhares de ordens simultâneas sem gerar condições de corrida, inconsistências de saldo ou </w:t>
      </w:r>
      <w:r w:rsidDel="00000000" w:rsidR="00000000" w:rsidRPr="00000000">
        <w:rPr>
          <w:i w:val="1"/>
          <w:iCs w:val="1"/>
          <w:rtl w:val="0"/>
        </w:rPr>
        <w:t xml:space="preserve">deadlocks</w:t>
      </w:r>
      <w:r w:rsidDel="00000000" w:rsidR="00000000" w:rsidRPr="00000000">
        <w:rPr>
          <w:rtl w:val="0"/>
        </w:rPr>
        <w:t xml:space="preserve"> em um ambiente transacional de alta frequência.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Modelo Entidade-Relacionamento (ER)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rtl w:val="0"/>
        </w:rPr>
        <w:t xml:space="preserve">O modelo foi estruturado visando a separação estrita entre capital livre e capital empenhado. A tabela carteiras foi desenhada com controle de </w:t>
      </w:r>
      <w:r w:rsidDel="00000000" w:rsidR="00000000" w:rsidRPr="00000000">
        <w:rPr>
          <w:b w:val="1"/>
          <w:bCs w:val="1"/>
          <w:rtl w:val="0"/>
        </w:rPr>
        <w:t xml:space="preserve">saldo_disponivel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saldo_bloqueado</w:t>
      </w:r>
      <w:r w:rsidDel="00000000" w:rsidR="00000000" w:rsidRPr="00000000">
        <w:rPr>
          <w:rtl w:val="0"/>
        </w:rPr>
        <w:t xml:space="preserve">, atuando como entidade associativa entre </w:t>
      </w:r>
      <w:r w:rsidDel="00000000" w:rsidR="00000000" w:rsidRPr="00000000">
        <w:rPr>
          <w:b w:val="1"/>
          <w:bCs w:val="1"/>
          <w:rtl w:val="0"/>
        </w:rPr>
        <w:t xml:space="preserve">usuarios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ativos</w:t>
      </w:r>
      <w:r w:rsidDel="00000000" w:rsidR="00000000" w:rsidRPr="00000000">
        <w:rPr>
          <w:rtl w:val="0"/>
        </w:rPr>
        <w:t xml:space="preserve">. A tabela de intenções, </w:t>
      </w:r>
      <w:r w:rsidDel="00000000" w:rsidR="00000000" w:rsidRPr="00000000">
        <w:rPr>
          <w:b w:val="1"/>
          <w:bCs w:val="1"/>
          <w:rtl w:val="0"/>
        </w:rPr>
        <w:t xml:space="preserve">ordens</w:t>
      </w:r>
      <w:r w:rsidDel="00000000" w:rsidR="00000000" w:rsidRPr="00000000">
        <w:rPr>
          <w:rtl w:val="0"/>
        </w:rPr>
        <w:t xml:space="preserve">, contém o estado transicional da operação (aberta, parcial, executada ou cancelada). A liquidação é registrada na tabela imutável </w:t>
      </w:r>
      <w:r w:rsidDel="00000000" w:rsidR="00000000" w:rsidRPr="00000000">
        <w:rPr>
          <w:b w:val="1"/>
          <w:bCs w:val="1"/>
          <w:rtl w:val="0"/>
        </w:rPr>
        <w:t xml:space="preserve">trades </w:t>
      </w:r>
      <w:r w:rsidDel="00000000" w:rsidR="00000000" w:rsidRPr="00000000">
        <w:rPr>
          <w:rtl w:val="0"/>
        </w:rPr>
        <w:t xml:space="preserve">, e o rastreamento temporal dos preços foi modelado na tabela </w:t>
      </w:r>
      <w:r w:rsidDel="00000000" w:rsidR="00000000" w:rsidRPr="00000000">
        <w:rPr>
          <w:b w:val="1"/>
          <w:bCs w:val="1"/>
          <w:rtl w:val="0"/>
        </w:rPr>
        <w:t xml:space="preserve">candles_ohlcv</w:t>
      </w:r>
      <w:r w:rsidDel="00000000" w:rsidR="00000000" w:rsidRPr="00000000">
        <w:rPr>
          <w:rtl w:val="0"/>
        </w:rPr>
        <w:t xml:space="preserve">, utilizando o particionamento nativo do </w:t>
      </w:r>
      <w:r w:rsidDel="00000000" w:rsidR="00000000" w:rsidRPr="00000000">
        <w:rPr>
          <w:b w:val="1"/>
          <w:bCs w:val="1"/>
          <w:rtl w:val="0"/>
        </w:rPr>
        <w:t xml:space="preserve">PostgreSQL BY RANGE</w:t>
      </w:r>
      <w:r w:rsidDel="00000000" w:rsidR="00000000" w:rsidRPr="00000000">
        <w:rPr>
          <w:rtl w:val="0"/>
        </w:rPr>
        <w:t xml:space="preserve"> sobre a coluna de minutos para suportar o intenso volume de dados exigido.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Regras de Negócio Implementadas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rtl w:val="0"/>
        </w:rPr>
        <w:t xml:space="preserve">As seguintes regras de negócio foram implementadas no nível do banco de dados:</w:t>
        <w:br w:type="textWrapping"/>
        <w:t xml:space="preserve">1.Garantia de Saldo: Bloqueio imediato do saldo (reserva) no momento da inserção da ordem, impossibilitando gasto duplo.  </w:t>
        <w:br w:type="textWrapping"/>
        <w:t xml:space="preserve">2.Partial Fill: Suporte a ordens atendidas de forma fracionada por múltiplas contrapartes, mantendo a ordem original ativa até seu preenchimento completo.  </w:t>
        <w:br w:type="textWrapping"/>
        <w:t xml:space="preserve">3.Imutabilidade e Auditoria: Proibição de exclusão ou alteração manual na tabela de trades e o registro automático de ciclo de vida das ordens na tabela auditoria_ordens.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Principais Consultas e Gatilhos (Triggers)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A resolução central do problema de concorrência foi implementada através do gatilho </w:t>
      </w:r>
      <w:r w:rsidDel="00000000" w:rsidR="00000000" w:rsidRPr="00000000">
        <w:rPr>
          <w:b w:val="1"/>
          <w:bCs w:val="1"/>
          <w:rtl w:val="0"/>
        </w:rPr>
        <w:t xml:space="preserve">executar_matching()</w:t>
      </w:r>
      <w:r w:rsidDel="00000000" w:rsidR="00000000" w:rsidRPr="00000000">
        <w:rPr>
          <w:rtl w:val="0"/>
        </w:rPr>
        <w:t xml:space="preserve">. Este gatilho PL/pgSQL interage com as ordens opostas utilizando a instrução estrutural:</w:t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* FROM ordens WHERE ... FOR UPDATE SKIP LOCKED</w:t>
      </w:r>
    </w:p>
    <w:p w:rsidR="00000000" w:rsidDel="00000000" w:rsidP="00000000" w:rsidRDefault="00000000" w:rsidRPr="00000000" w14:paraId="00000010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Esta abordagem trava as ordens selecionadas para execução exclusiva daquela thread, sem bloquear a leitura do restante do book, evadindo colisões e deadlocks no PostgreSQL. Além disso, funções aritméticas explícitas (como </w:t>
      </w:r>
      <w:r w:rsidDel="00000000" w:rsidR="00000000" w:rsidRPr="00000000">
        <w:rPr>
          <w:b w:val="1"/>
          <w:bCs w:val="1"/>
          <w:rtl w:val="0"/>
        </w:rPr>
        <w:t xml:space="preserve">ROUND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GREATEST</w:t>
      </w:r>
      <w:r w:rsidDel="00000000" w:rsidR="00000000" w:rsidRPr="00000000">
        <w:rPr>
          <w:rtl w:val="0"/>
        </w:rPr>
        <w:t xml:space="preserve">) foram implementadas neste gatilho para corrigir problemas de arredondamento fracionário ("poeira criptográfica") gerados pelos múltiplos partial fills. Consultas em tempo real também foram envelopadas em Views, incluindo o </w:t>
      </w:r>
      <w:r w:rsidDel="00000000" w:rsidR="00000000" w:rsidRPr="00000000">
        <w:rPr>
          <w:b w:val="1"/>
          <w:bCs w:val="1"/>
          <w:rtl w:val="0"/>
        </w:rPr>
        <w:t xml:space="preserve">view_market_summary </w:t>
      </w:r>
      <w:r w:rsidDel="00000000" w:rsidR="00000000" w:rsidRPr="00000000">
        <w:rPr>
          <w:rtl w:val="0"/>
        </w:rPr>
        <w:t xml:space="preserve">e funções de Window Functions para o ranking de movimentação financeira dos usuários nas últimas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Saídas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1.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Estatística do Banco Funcional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234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1.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View view_traders_ranking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5.999999999999872"/>
        </w:tabs>
        <w:spacing w:after="0" w:before="120" w:line="240" w:lineRule="auto"/>
        <w:ind w:left="0" w:right="0" w:hanging="566.92913385826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0525" cy="495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52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5.999999999999872"/>
        </w:tabs>
        <w:spacing w:after="0" w:before="120" w:line="240" w:lineRule="auto"/>
        <w:ind w:left="0" w:right="0" w:hanging="566.92913385826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5.999999999999872"/>
        </w:tabs>
        <w:spacing w:after="0" w:before="120" w:line="240" w:lineRule="auto"/>
        <w:ind w:left="0" w:right="0" w:hanging="566.9291338582675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Table 2. View view_market_summary</w:t>
      </w:r>
    </w:p>
    <w:p w:rsidR="00000000" w:rsidDel="00000000" w:rsidP="00000000" w:rsidRDefault="00000000" w:rsidRPr="00000000" w14:paraId="0000001C">
      <w:pPr>
        <w:tabs>
          <w:tab w:val="left" w:leader="none" w:pos="-5.999999999999872"/>
        </w:tabs>
        <w:ind w:hanging="566.92913385826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257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-5.999999999999872"/>
        </w:tabs>
        <w:ind w:hanging="566.92913385826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spacing w:after="120" w:lineRule="auto"/>
        <w:ind w:left="454" w:right="454" w:firstLine="0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Table 3. View view_trades_history</w:t>
      </w:r>
    </w:p>
    <w:p w:rsidR="00000000" w:rsidDel="00000000" w:rsidP="00000000" w:rsidRDefault="00000000" w:rsidRPr="00000000" w14:paraId="0000001F">
      <w:pPr>
        <w:tabs>
          <w:tab w:val="left" w:leader="none" w:pos="-5.999999999999872"/>
        </w:tabs>
        <w:ind w:hanging="566.92913385826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4902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5.999999999999872"/>
        </w:tabs>
        <w:spacing w:after="0" w:before="120" w:line="240" w:lineRule="auto"/>
        <w:ind w:left="0" w:right="0" w:hanging="566.92913385826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Conclusões e Melhorias Sugeridas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O sistema resolveu com êxito o problema proposto. O uso do bloqueio SKIP LOCKED aliado ao script Python paralelizado provou que o PostgreSQL é capaz de atuar como um Matching Engine resiliente, absorvendo um pico intenso de tuplas geradas em lote e alcançando com estabilidade o volume exigido de aproximadamente 750 MB sem apresentar contenções severas.</w:t>
      </w:r>
    </w:p>
    <w:p w:rsidR="00000000" w:rsidDel="00000000" w:rsidP="00000000" w:rsidRDefault="00000000" w:rsidRPr="00000000" w14:paraId="00000024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Como melhorias sugeridas para o banco de dados, a infraestrutura poderia isolar as inserções de log </w:t>
      </w:r>
      <w:r w:rsidDel="00000000" w:rsidR="00000000" w:rsidRPr="00000000">
        <w:rPr>
          <w:b w:val="1"/>
          <w:bCs w:val="1"/>
          <w:rtl w:val="0"/>
        </w:rPr>
        <w:t xml:space="preserve">auditoria_ordens</w:t>
      </w:r>
      <w:r w:rsidDel="00000000" w:rsidR="00000000" w:rsidRPr="00000000">
        <w:rPr>
          <w:rtl w:val="0"/>
        </w:rPr>
        <w:t xml:space="preserve"> em rotinas assíncronas para diminuir o tempo de commit da transação principal. Além disso, a arquitetura atual permite uma fácil conexão direta com ferramentas de Business Intelligence. Como evolução, a base de dados poderia ser conectada ao Power BI utilizando o Power Query para o processo de ETL, transformando a tabela de Candles e o histórico financeiro em dashboards interativos de análise de mercado.</w:t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Boulic, R. and Renault, O. (1991) “3D Hierarchies for Animation”, In: New Trends in Animation and Visualization, Edited by Nadia Magnenat-Thalmann and Daniel Thalmann, John Wiley &amp; Sons ltd., England.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Dyer, S., Martin, J. and Zulauf, J. (1995) “Motion Capture White Paper”, </w:t>
      </w:r>
      <w:hyperlink r:id="rId14">
        <w:r w:rsidDel="00000000" w:rsidR="00000000" w:rsidRPr="00000000">
          <w:rPr>
            <w:rFonts w:ascii="Times" w:cs="Times" w:eastAsia="Times" w:hAnsi="Time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http://reality.sgi.com/employees/jam_sb/mocap/MoCapWP_v2.0.html</w:t>
        </w:r>
      </w:hyperlink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December.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Holton, M. and Alexander, S. (1995) “Soft Cellular Modeling: A Technique for the Simulation of Non-rigid Materials”, Computer Graphics: Developments in Virtual Environments, R. A. Earnshaw and J. A. Vince, England, Academic Press Ltd., p. 449-460.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Knuth, D. E. (1984), The TeXbook, Addison Wesley, 15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edition.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Smith, A. and Jones, B. (1999). On the complexity of computing. 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Advances in Computer Science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pages 555–566. Publishing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even"/>
      <w:footerReference r:id="rId17" w:type="first"/>
      <w:footerReference r:id="rId18" w:type="even"/>
      <w:type w:val="continuous"/>
      <w:pgSz w:h="16840" w:w="11907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  <w:p w:rsidR="00000000" w:rsidDel="00000000" w:rsidP="00000000" w:rsidRDefault="00000000" w:rsidRPr="00000000" w14:paraId="00000033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4.xml"/><Relationship Id="rId14" Type="http://schemas.openxmlformats.org/officeDocument/2006/relationships/hyperlink" Target="http://reality.sgi.com/employees/jam_sb/mocap/MoCapWP_v2.0.html" TargetMode="Externa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18" Type="http://schemas.openxmlformats.org/officeDocument/2006/relationships/footer" Target="footer4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