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INFORMÁTICA E ADMINISTRAÇÃO PAULISTA – FIAP</w:t>
      </w:r>
    </w:p>
    <w:p>
      <w:pPr>
        <w:spacing w:after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Graduação em Inteligência Artificial – Turma 2TIAOR-2026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CARDIOIA – FASE 3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MONITORAMENTO CONTÍNUO: IoT NO PEITO DO PACIENTE</w:t>
      </w:r>
    </w:p>
    <w:p>
      <w:pPr>
        <w:spacing w:after="10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Edge Computing, MQTT e visualização em saúde digital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Grupo Purkinje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Mirià Leal Mantovani – RM567811</w:t>
      </w:r>
    </w:p>
    <w:p>
      <w:pPr>
        <w:spacing w:after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João Pedro Santos Azevedo – RM566701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Tutor: Leonardo Ruiz Orabona</w:t>
      </w:r>
    </w:p>
    <w:p>
      <w:pPr>
        <w:spacing w:after="700"/>
        <w:jc w:val="center"/>
      </w:pPr>
      <w:r>
        <w:rPr>
          <w:rFonts w:ascii="Arial" w:cs="Arial" w:eastAsia="Arial" w:hAnsi="Arial"/>
          <w:sz w:val="24"/>
          <w:szCs w:val="24"/>
        </w:rPr>
        <w:t xml:space="preserve">Coordenador: André Godoi Chiovato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 no Wokwi: </w:t>
      </w:r>
      <w:hyperlink w:history="1" r:id="rIdyu9hfhzvciwdkst4uxbt1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wokwi.com/projects/477609293767887873</w:t>
        </w:r>
      </w:hyperlink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Repositório: </w:t>
      </w:r>
      <w:hyperlink w:history="1" r:id="rIdc_dddzekfummbb_sg9-va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github.com/joaostazevedo172/cardioia-fase3</w:t>
        </w:r>
      </w:hyperlink>
    </w:p>
    <w:p>
      <w:pPr>
        <w:spacing w:after="8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Vídeo: </w:t>
      </w:r>
      <w:hyperlink w:history="1" r:id="rIdVideoYouTube01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youtube.com/watch?v=24XwCsWnDNU</w:t>
        </w:r>
      </w:hyperlink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SUMÁRIO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1.1 O projeto CardioIA e a continuidade entre as fases</w:t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1.2 Objetivo desta fase</w:t>
        <w:tab/>
        <w:t xml:space="preserve">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ARQUITETURA DA SOLUÇÃO</w:t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2.1 Visão em três camadas</w:t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2.2 Circuito e mapeamento de pinos</w:t>
        <w:tab/>
        <w:t xml:space="preserve">4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PARTE 1: ARMAZENAMENTO E PROCESSAMENTO LOCAL</w:t>
        <w:tab/>
        <w:t xml:space="preserve">5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3.1 Sensores e sinais capturados</w:t>
        <w:tab/>
        <w:t xml:space="preserve">5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3.2 Fluxo de funcionamento</w:t>
        <w:tab/>
        <w:t xml:space="preserve">5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3.3 A decisão clínica na borda</w:t>
        <w:tab/>
        <w:t xml:space="preserve">6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3.4 Estratégia de resiliência: dois buffers, não um</w:t>
        <w:tab/>
        <w:t xml:space="preserve">6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3.5 Dimensionamento quantitativo</w:t>
        <w:tab/>
        <w:t xml:space="preserve">7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3.6 Sobre o SPIFFS</w:t>
        <w:tab/>
        <w:t xml:space="preserve">8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PARTE 2: TRANSMISSÃO PARA A NUVEM E VISUALIZAÇÃO</w:t>
        <w:tab/>
        <w:t xml:space="preserve">8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4.1 Por que MQTT</w:t>
        <w:tab/>
        <w:t xml:space="preserve">8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4.2 Hierarquia de tópicos</w:t>
        <w:tab/>
        <w:t xml:space="preserve">9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4.3 Estrutura do payload</w:t>
        <w:tab/>
        <w:t xml:space="preserve">9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4.4 Garantia de entrega e Last Will</w:t>
        <w:tab/>
        <w:t xml:space="preserve">10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4.5 Broker e caminho para produção</w:t>
        <w:tab/>
        <w:t xml:space="preserve">10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4.6 Sincronização do backlog</w:t>
        <w:tab/>
        <w:t xml:space="preserve">11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4.7 Configuração do dashboard</w:t>
        <w:tab/>
        <w:t xml:space="preserve">11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 4.8 Limiares de alerta</w:t>
        <w:tab/>
        <w:t xml:space="preserve">12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EVIDÊNCIAS DE EXECUÇÃO</w:t>
        <w:tab/>
        <w:t xml:space="preserve">13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EFICIÊNCIA, SEGURANÇA E BOAS PRÁTICAS</w:t>
        <w:tab/>
        <w:t xml:space="preserve">16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LIMITAÇÕES RECONHECIDAS</w:t>
        <w:tab/>
        <w:t xml:space="preserve">17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CONCLUSÃO</w:t>
        <w:tab/>
        <w:t xml:space="preserve">17</w:t>
      </w:r>
    </w:p>
    <w:p>
      <w:pPr>
        <w:tabs>
          <w:tab w:val="right" w:pos="9071" w:leader="dot"/>
        </w:tabs>
        <w:spacing w:after="6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REFERÊNCIAS</w:t>
        <w:tab/>
        <w:t xml:space="preserve">18</w:t>
      </w:r>
    </w:p>
    <w:p>
      <w:r>
        <w:br w:type="page"/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1 INTRODUÇÃO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1.1 O projeto CardioIA e a continuidade entre as fases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CardioIA é um projeto de aprendizagem baseada em problemas que percorre sete fases, construindo progressivamente um ecossistema de cardiologia assistida por inteligência Artificial. Esta terceira fase acrescenta a camada física: um dispositivo vestível que captura sinais vitais junto ao paciente, decide localmente se há um evento clínico, sobrevive a quedas de conectividade e transmite tudo para um painel de acompanhamento.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paciente monitorado é o CARD-0056, e essa escolha costura as três fases já entregues. E o mesmo identificador do dataset construído na Fase 1, onde o registro aparece na faixa de alto risco cardiovascular, e é o mesmo relato que o extrator de sintomas da Fase 2 classificou como triagem de risco ALTO. O wearable desta fase monitora, portanto, alguem que o próprio projeto já havia sinalizado nas etapas anteriores. As três fases se ligam pela mesma chave primária, o campo id_paciente.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– Continuidade entre as fases pela chave id_paciente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5624"/>
        <w:gridCol w:w="1814"/>
      </w:tblGrid>
      <w:tr>
        <w:trPr>
          <w:tblHeader/>
        </w:trPr>
        <w:tc>
          <w:tcPr>
            <w:tcW w:type="dxa" w:w="163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562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Entregou</w:t>
            </w:r>
          </w:p>
        </w:tc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 de ligação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</w:t>
            </w:r>
          </w:p>
        </w:tc>
        <w:tc>
          <w:tcPr>
            <w:tcW w:type="dxa" w:w="5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numérico, textual e de imagens de ECG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id_paciente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</w:t>
            </w:r>
          </w:p>
        </w:tc>
        <w:tc>
          <w:tcPr>
            <w:tcW w:type="dxa" w:w="5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de sintomas e classificador de risco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id_paciente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</w:t>
            </w:r>
          </w:p>
        </w:tc>
        <w:tc>
          <w:tcPr>
            <w:tcW w:type="dxa" w:w="56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Wearable IoT, Edge Computing, MQTT e dashboard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id_paciente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1.2 Objetivo desta fase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é desenvolver um protótipo funcional que simule um sistema vestível de monitoramento cardíaco capaz de capturar sinais vitais simulados, armazenar localmente e garantir resiliência offline, transmitir para a nuvem via MQTT, exibir as informações em um painel com alertas automáticos e sustentar uma reflexão sobre eficiência, segurança e boas práticas em IoT médico.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documento está organizado em duas partes técnicas, correspondentes as duas partes do enunciado, seguidas das evidências de execução e da discussão crítica.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2 ARQUITETURA DA SOLUÇÃO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2.1 Visão em três camadas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distribui responsabilidades em três camadas, e essa divisão não é cosmética. O alerta clínico é decidido na borda, porque não pode depender de conectividade. A agregação, o roteamento e a memória de curto prazo ficam na névoa, representada pelo Node-RED, que é onde há CPU e disco sobrando e onde a lógica pode ser alterada sem reprogramar o dispositivo. A nuvem, representada pelo broker MQTT, é apenas o transporte desacoplado.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Essa separação é o que permite que o sistema continue clinicamente útil durante uma falha de rede, em vez de simplesmente parar de funcionar.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 – Responsabilidades por camada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540"/>
        <w:gridCol w:w="4717"/>
      </w:tblGrid>
      <w:tr>
        <w:trPr>
          <w:tblHeader/>
        </w:trPr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54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71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 (Edge)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+ DHT22 + MPU6050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Amostragem adaptativa, avaliação clínica, buffer prioritário, LED de alerta local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Névoa (Fog)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Node-RED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Normalização, roteamento, memória de eventos, regras de apresentação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Nuvem (Cloud)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Broker MQTT (HiveMQ)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Transporte desacoplado, retenção de estado, Last Will and Testament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2.2 Circuito e mapeamento de pinos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enunciado exige no mínimo dois sensores distintos, sendo um deles obrigatoriamente de temperatura. Adotamos o DHT22, que mede temperatura e umidade e conta como um sensor, e escolhemos o acelerômetro MPU6050 como segundo sensor. O pulso arterial é simulado por um pushbutton, conforme o próprio enunciado sugere, e um segundo botão controla a variável booleana que representa o enlace de rede.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3 – Mapeamento de pinos no ESP32 DevKit v1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3084"/>
        <w:gridCol w:w="3810"/>
      </w:tblGrid>
      <w:tr>
        <w:trPr>
          <w:tblHeader/>
        </w:trPr>
        <w:tc>
          <w:tcPr>
            <w:tcW w:type="dxa" w:w="217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8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Pino</w:t>
            </w:r>
          </w:p>
        </w:tc>
        <w:tc>
          <w:tcPr>
            <w:tcW w:type="dxa" w:w="381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DHT22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15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Temperatura e umidade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MPU6050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21 (SDA) e GPIO 22 (SCL)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Movimento e detecção de impacto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Botão PULSO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4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Pulso arterial simulado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Botão ENLACE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5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Liga e desliga o enlace simulado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ALERTA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18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clínico ativo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ONLINE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19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Enlace com a nuvem estabelecido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Circuito montado no simulador Wokwi, com os dois sensores, os dois botões e os LEDs de estado</w:t>
      </w:r>
    </w:p>
    <w:p>
      <w:pPr>
        <w:spacing w:after="6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captura de tela da execução (2026).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3 PARTE 1: ARMAZENAMENTO E PROCESSAMENTO LOCAL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3.1 Sensores e sinais capturados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frequência cardíaca é derivada dos intervalos entre toques, e não da contagem em uma janela fixa. Uma rotina de interrupção registra o instante de cada toque com 120 milissegundos de supressão de ruído, e a função de leitura converte a média dos quatro últimos intervalos em batimentos por minuto.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escolha é deliberada. Contagem por janela exigiria esperar a janela inteira fechar antes de reagir, o que atrasaria a detecção de uma taquicardia; a média de quatro intervalos responde em poucos segundos e ainda filtra a irregularidade natural da mão humana. O intervalo mínimo de 120 milissegundos também funciona como teto fisiológico, porque acima de 500 batimentos por minuto não há batimento, há ruído mecânico do botão.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3.2 Fluxo de funcionamento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cada ciclo o firmware le os três sinais, monta um registro de 12 bytes, submete-o a avaliação clínica e só então decide o destino. O enlace é uma variável booleana, como pede o enunciado, controlada pelo botão do GPIO 5, o que permite demonstrar a resiliência sem derrubar a rede de verdade dentro do simulador.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Em todos os casos a amostra é impressa no monitor serial com o destino explícito, usando os marcadores ENVIO, BUFFER, SYNC-C e SYNC-R. Quando há enlace, a amostra é publicada via MQTT; quando não há, ela entra na fila correspondente a sua prioridade clínica.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3.3 A decisão clínica na borda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núcleo do argumento de Edge Computing deste projeto está na função de avaliação. Ela classifica cada amostra dentro do dispositivo, sem consultar a nuvem. Se a conectividade cair, o alerta continua sendo detectado, o LED vermelho continua acendendo e a amostra continua entrando na fila prioritária. A nuvem é o canal de notificação, não o cérebro do sistema, e essa é a diferença entre um wearable médico e um sensor conectado.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Três decisões de projeto merecem registro. A primeira é a histerese: taquicardia, bradicardia, febre e hipotermia só disparam após três amostras consecutivas na condição, e o contador zera assim que a condição deixa de valer, de modo que leituras alternadas nunca acumulam até o limiar. Uma leitura isolada ruim não pode acionar um alerta médico.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é que o impacto não tem histerese. Uma queda é um evento único que não se repete na amostra seguinte, e esperar confirmação perderia justamente o evento que se queria detectar.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terceira é que falha de sensor não é evento clínico. Se nenhum pulso chegar em quatro segundos, o firmware reporta sinal ausente, interpretado como eletrodo solto, e não bradicardia. Confundir as duas coisas produz o alarme falso que leva equipes a ignorar o monitor, fenômeno conhecido como fadiga de alarme. Pelo mesmo raciocínio, imobilidade só vira alerta quando acompanhada de ritmo alterado: paciente parado com ritmo normal está dormindo, não desmaiado.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3.4 Estratégia de resiliência: dois buffers, não um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enunciado pede que o grupo escolha uma estratégia de armazenamento limitado alinhada ao modelo de negócio. A nossa é um buffer circular separado por prioridade clínica: uma fila de 2400 posições para amostras normais e uma fila independente de 480 posições para amostras em alerta.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razão de separar é direta. Em um buffer circular único, uma queda de enlace mais longa que a autonomia projetada apagaria exatamente o episódio de taquicardia que motivou o monitoramento, porque ele seria o dado mais antigo. O evento clínico é o dado de maior valor e precisa de garantia própria. Na sincronização, os críticos são drenados primeiro.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script de análise que acompanha o repositório quantifica o ganho simulando uma queda de 18 horas, cinquenta por cento além do projetado, com a mesma memória total nas duas estrategias.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4 – Alertas preservados após uma queda de 18 horas, com memória idêntica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1723"/>
        <w:gridCol w:w="1723"/>
        <w:gridCol w:w="1723"/>
        <w:gridCol w:w="1723"/>
      </w:tblGrid>
      <w:tr>
        <w:trPr>
          <w:tblHeader/>
        </w:trPr>
        <w:tc>
          <w:tcPr>
            <w:tcW w:type="dxa" w:w="217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Probabilidade de alerta</w:t>
            </w:r>
          </w:p>
        </w:tc>
        <w:tc>
          <w:tcPr>
            <w:tcW w:type="dxa" w:w="172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Amostras geradas</w:t>
            </w:r>
          </w:p>
        </w:tc>
        <w:tc>
          <w:tcPr>
            <w:tcW w:type="dxa" w:w="172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ocorridos</w:t>
            </w:r>
          </w:p>
        </w:tc>
        <w:tc>
          <w:tcPr>
            <w:tcW w:type="dxa" w:w="172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Salvos com FIFO único</w:t>
            </w:r>
          </w:p>
        </w:tc>
        <w:tc>
          <w:tcPr>
            <w:tcW w:type="dxa" w:w="172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Salvos com fila prioritária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2 %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4320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5 %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4320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216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217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4320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432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265</w:t>
            </w:r>
          </w:p>
        </w:tc>
        <w:tc>
          <w:tcPr>
            <w:tcW w:type="dxa" w:w="17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421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Com cinco por cento de alertas, o buffer único perde trinta e sete por cento do histórico clínico, enquanto a fila prioritária não perde nada. O custo é ter descartado mais amostras de rotina, que tem valor epidemiológico, não diagnóstico.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3.5 Dimensionamento quantitativo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configuração adotada é a menor que satisfaz simultaneamente a restrição de memória e a meta de autonomia: 2880 amostras de 12 bytes, totalizando 33,8 KB, ou 6,49 por cento da SRAM de 520 KB do ESP32. O teto de 48 KB que nos impusemos deixa folga para a pilha de rede e para o heap do cliente MQTT.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5 – Varredura de configurações de buffer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1361"/>
        <w:gridCol w:w="1814"/>
        <w:gridCol w:w="1633"/>
        <w:gridCol w:w="1542"/>
        <w:gridCol w:w="1451"/>
      </w:tblGrid>
      <w:tr>
        <w:trPr>
          <w:tblHeader/>
        </w:trPr>
        <w:tc>
          <w:tcPr>
            <w:tcW w:type="dxa" w:w="127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Amostras</w:t>
            </w:r>
          </w:p>
        </w:tc>
        <w:tc>
          <w:tcPr>
            <w:tcW w:type="dxa" w:w="136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Memória</w:t>
            </w:r>
          </w:p>
        </w:tc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 da SRAM</w:t>
            </w:r>
          </w:p>
        </w:tc>
        <w:tc>
          <w:tcPr>
            <w:tcW w:type="dxa" w:w="163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Autonomia offline</w:t>
            </w:r>
          </w:p>
        </w:tc>
        <w:tc>
          <w:tcPr>
            <w:tcW w:type="dxa" w:w="1542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Cabe no orçamento</w:t>
            </w:r>
          </w:p>
        </w:tc>
        <w:tc>
          <w:tcPr>
            <w:tcW w:type="dxa" w:w="145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Atinge a meta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1440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16,9 KB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3,25 %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 h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2160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25,3 KB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4,87 %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9,0 h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33,8 KB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6,49 %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12,0 h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4320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50,6 KB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9,74 %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 h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doze horas vem do modelo de negócio. Em monitoramento domiciliar, a falha de conectividade típica é uma queda de energia ou de link residencial resolvida dentro de um turno de trabalho. O buffer crítico sozinho cobre duas horas de evento contínuo; passado esse limite, o paciente já estaria sob cuidado presencial.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autonomia só chega a doze horas por causa de uma segunda decisão, a degradação graciosa da cadência. Com enlace, o dispositivo amostra a cada cinco segundos; sem enlace, a cada quinze. Com a mesma memória, triplicamos a janela de contingência coberta, ao custo de resolução temporal, que é aceitável porque a histerese opera sobre amostras consecutivas e não sobre um intervalo fixo em segundos.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3.6 Sobre o SPIFFS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enunciado reconhece que o SPIFFS é volátil nos simuladores e não computa o item. O código esta implementado e compilado condicionalmente por uma constante de configuração: com a opção ativada, o mesmo firmware grava cada leitura em um arquivo CSV em um ESP32 físico e apaga o arquivo assim que o backlog chega a zero, exatamente como descrito no enunciado. No simulador, a opção fica desativada e o monitor serial cumpre o papel de evidência de resiliência, conforme a alternativa autorizada.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4 PARTE 2: TRANSMISSÃO PARA A NUVEM E VISUALIZAÇÃO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4.1 Por que MQTT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protocolo foi escolhido por três características que importam neste cenário. A primeira é o desacoplamento entre publicador e assinante: o ESP32 não conhece o Node-RED, e o Node-RED não conhece o ESP32; ambos conhecem apenas tópicos. Acrescentar um segundo assinante, como uma automação de notificação por e-mail ou um painel na central médica, não exige alterar o firmware. Em telemetria médica isso é decisivo, porque atualizar firmware de dispositivo implantado é caro e arriscado.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é o payload leve sobre conexão TCP persistente. Cada amostra ocupa cerca de 200 bytes. O protocolo HTTP exigiria reabrir conexão e transportar cabeçalhos a cada envio, e em um dispositivo que publica a cada cinco segundos por meses o custo em energia e em dados móveis seria proibitivo.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terceira é o conjunto de garantias que o protocolo oferece de fábrica, em especial a mensagem de última vontade e a retenção de estado, descritas adiante.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4.2 Hierarquia de tópicos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prefixo dos tópicos inclui o nome do grupo porque o broker público é compartilhado: sem isso, dois grupos da turma publicariam no mesmo endereço e um veria os dados do outro. O terceiro nível é o identificador do paciente, a mesma chave das fases anteriores, o que torna a hierarquia extensível: acrescentar um segundo paciente e acrescentar um ramo, não reescrever o esquema.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 – Hierarquia de tópicos MQTT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4"/>
        <w:gridCol w:w="4717"/>
      </w:tblGrid>
      <w:tr>
        <w:trPr>
          <w:tblHeader/>
        </w:trPr>
        <w:tc>
          <w:tcPr>
            <w:tcW w:type="dxa" w:w="435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Tópico</w:t>
            </w:r>
          </w:p>
        </w:tc>
        <w:tc>
          <w:tcPr>
            <w:tcW w:type="dxa" w:w="4717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cardioia/purkinje/CARD-0056/telemetria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Amostras ao vivo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cardioia/purkinje/CARD-0056/historico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Backlog sincronizado após uma queda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cardioia/purkinje/CARD-0056/alerta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Apenas eventos clínicos</w:t>
            </w:r>
          </w:p>
        </w:tc>
      </w:tr>
      <w:tr>
        <w:tc>
          <w:tcPr>
            <w:tcW w:type="dxa" w:w="43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cardioia/purkinje/CARD-0056/status</w:t>
            </w:r>
          </w:p>
        </w:tc>
        <w:tc>
          <w:tcPr>
            <w:tcW w:type="dxa" w:w="47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do dispositivo, retido e com Last Will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Separar a telemetria do histórico resolve um problema real. Quando o enlace volta, o dispositivo despeja centenas de amostras antigas. Se elas chegassem pelo mesmo tópico da telemetria ao vivo, o painel mostraria um valor de duas horas atrás como se fosse a leitura do instante, um erro de interpretação com consequência clínica. Separados, o dashboard trata cada um como merece.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tópico de alerta existe para que assinantes interessados apenas em eventos não precisem filtrar o fluxo inteiro, o que reduz tráfego e simplifica integrações externas.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4.3 Estrutura do payload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payload é um objeto JSON com doze campos, identificando o dispositivo e o paciente, o instante da leitura, os três sinais vitais, o estado de alerta com o respectivo motivo, a origem da amostra e dois campos de observabilidade.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campos de backlog e de amostras perdidas não são dado clínico: informam quantas amostras ainda aguardam sincronização e quantas o buffer teve de descartar. Perda silenciosa de dado clínico é inaceitável, então o número viaja junto da telemetria e aparece no painel. O campo de origem distingue leitura ao vivo de registro recuperado do buffer.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serialização é feita com formatação direta de string, e não com uma biblioteca de JSON. Para um payload fixo de doze campos, a montagem manual gasta menos memória, elimina uma dependência e permanece auditável linha a linha, o que em dispositivo médico tem valor próprio.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4.4 Garantia de entrega e Last Will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garantia desejada é a de entrega ao menos uma vez: uma amostra duplicada é inofensiva para o painel, enquanto uma perdida não e. Aqui há uma limitação real da biblioteca que vale registrar em vez de esconder, pois o PubSubClient publica sempre em qualidade de serviço zero. O parâmetro definido na configuração se aplica a assinatura e a mensagem de última vontade, que a biblioteca suporta, mas não a telemetria.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Obtivemos a garantia na camada de aplicação. Quando a publicação devolve falha, a amostra não é descartada: ela volta para o buffer de prioridade correspondente e é reenviada no ciclo seguinte, tanto no fluxo ao vivo quanto na drenagem do backlog. O efeito prático é equivalente, com a diferença de que a retentativa é nossa e não do protocolo. Migrar para uma biblioteca com suporte nativo simplificaria o código, e é a mudança que faríamos antes de um uso real.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mensagem de última vontade é o detalhe mais importante desta seção. Ao conectar, o dispositivo registra no broker uma mensagem de estado offline. Se ele parar de responder sem se despedir, seja por bateria esgotada, travamento ou perda de alcance, o próprio broker publica essa mensagem. Sem isso, o dashboard não conseguiria distinguir paciente sem alterações de parei de receber dados do paciente. As duas situações produzem a mesma tela imóvel, e a segunda é uma emergência silenciosa. A mensagem de estado online é publicada com retenção, de modo que quem abrir o painel depois já encontre o estado corrente sem esperar a próxima amostra.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4.5 Broker e caminho para produção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firmware aponta por padrão para o broker público do HiveMQ, que não exige cadastro, escolha deliberada para que qualquer avaliador reproduza o projeto sem criar conta. Isso é adequado para o protótipo e inadequado para dados reais de saúde, pois o tópico é legível por qualquer um que o conheça, e dado de saúde é dado pessoal sensível pela Lei Geral de Proteção de Dados, nos termos do artigo 5, inciso II, e do artigo 11.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caminho para produção já está no código: basta ativar a constante de TLS e preencher o endereço do cluster, a porta segura e as credenciais. O firmware troca o cliente comum pelo cliente seguro e passa as credenciais na conexão. Em produção real, a chamada que desabilita a verificação do certificado deve ser substituida pela fixação do certificado da autoridade do broker, porque sem isso o TLS criptografa mas não autentica o servidor.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4.6 Sincronização do backlog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o enlace volta, a rotina de sincronização drena o buffer em lotes de vinte amostras por ciclo, processando a fila do cliente MQTT entre os envios. O motivo é concreto: despejar as 2880 mensagens de uma vez bloquearia o laço principal por dezenas de segundos, estourando o intervalo de manutenção da conexão e derrubando-a justamente no momento em que ela acabou de voltar, um sistema que se autossabota ao se recuperar.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registros críticos saem primeiro. Se uma publicação falhar no meio da drenagem, a amostra é devolvida ao buffer e a sincronização recomeça no ciclo seguinte, de modo que nenhum registro é descartado por falha de rede.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4.7 Configuração do dashboard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painel foi construído em Node-RED com a paleta de dashboard, e o arquivo de fluxo é importável diretamente. São quatro entradas MQTT, uma para cada tópico, e três funções de tratamento.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função de normalização concentra a única regra de negócio da camada de névoa: amostras vindas do backlog não atualizam os medidores. Elas alimentam apenas o gráfico, que é uma série temporal e sabe onde posicionar o ponto. Um medidor exibindo valor antigo como se fosse atual induziria o profissional ao erro, a mesma preocupação que motivou separar os topicos.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histórico de eventos vive no Node-RED e não no dispositivo. A divisão é proposital: a memória do ESP32 serve a resiliência, não a consulta clínica. Quem consulta histórico é a camada que tem disco.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7 – Widgets do painel e respectivas configurações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633"/>
        <w:gridCol w:w="5170"/>
      </w:tblGrid>
      <w:tr>
        <w:trPr>
          <w:tblHeader/>
        </w:trPr>
        <w:tc>
          <w:tcPr>
            <w:tcW w:type="dxa" w:w="226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Widget</w:t>
            </w:r>
          </w:p>
        </w:tc>
        <w:tc>
          <w:tcPr>
            <w:tcW w:type="dxa" w:w="1633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17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Frequência cardíaca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Gráfico de linha</w:t>
            </w:r>
          </w:p>
        </w:tc>
        <w:tc>
          <w:tcPr>
            <w:tcW w:type="dxa" w:w="5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de 0 a 300 bpm, janela de 10 minutos, séries separadas para ao vivo e sincronizado</w:t>
            </w:r>
          </w:p>
        </w:tc>
      </w:tr>
      <w:tr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Temperatura corporal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Medidor</w:t>
            </w:r>
          </w:p>
        </w:tc>
        <w:tc>
          <w:tcPr>
            <w:tcW w:type="dxa" w:w="5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de 30 a 42 graus, segmentos em 35 e 38</w:t>
            </w:r>
          </w:p>
        </w:tc>
      </w:tr>
      <w:tr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Umidade relativa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Medidor</w:t>
            </w:r>
          </w:p>
        </w:tc>
        <w:tc>
          <w:tcPr>
            <w:tcW w:type="dxa" w:w="5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de 0 a 100 por cento, segmentos em 30 e 70</w:t>
            </w:r>
          </w:p>
        </w:tc>
      </w:tr>
      <w:tr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virtual de alerta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5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Círculo que alterna verde e vermelho, com motivo e valores correntes</w:t>
            </w:r>
          </w:p>
        </w:tc>
      </w:tr>
      <w:tr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 de sincronização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5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Contador de amostras pendentes</w:t>
            </w:r>
          </w:p>
        </w:tc>
      </w:tr>
      <w:tr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do enlace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5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ou offline, alimentado pela mensagem de última vontade</w:t>
            </w:r>
          </w:p>
        </w:tc>
      </w:tr>
      <w:tr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eventos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5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 das 20 últimas ocorrências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teto do gráfico é de 300 batimentos por minuto, e não os 200 de uma faixa fisiológica usual, porque 300 é exatamente o valor em que o firmware satura a leitura. Um eixo mais curto que o domínio do dado produz linha cortada no topo, e leitura cortada em um painel clínico é defeito: o profissional não consegue distinguir se o valor bateu no teto do gráfico ou no teto do sensor. Fazendo o eixo cobrir exatamente o que o dispositivo é capaz de reportar, nenhum ponto pode cair fora.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Os limiares dos segmentos dos medidores espelham exatamente os limiares do firmware. Essa coerência é intencional: se o painel desenhasse uma faixa de alerta diferente daquela que o dispositivo usa para decidir, o profissional veria verde na tela enquanto o LED do paciente esta vermelho.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indicador de alerta foi construído com um template próprio em vez de um no de terceiros para que o fluxo dependa apenas da paleta oficial de dashboard. Menos dependências significa que o avaliador importa e executa sem precisar caçar módulos.</w:t>
      </w:r>
    </w:p>
    <w:p>
      <w:pPr>
        <w:pStyle w:val="Heading2"/>
        <w:spacing w:after="160" w:before="28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4"/>
          <w:szCs w:val="24"/>
        </w:rPr>
        <w:t xml:space="preserve">4.8 Limiares de alerta</w:t>
      </w:r>
    </w:p>
    <w:p>
      <w:pPr>
        <w:spacing w:after="80" w:before="200" w:line="240" w:lineRule="auto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8 – Condições monitoradas, limiares e origem da decisão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1814"/>
        <w:gridCol w:w="1814"/>
      </w:tblGrid>
      <w:tr>
        <w:trPr>
          <w:tblHeader/>
        </w:trPr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</w:t>
            </w:r>
          </w:p>
        </w:tc>
        <w:tc>
          <w:tcPr>
            <w:tcW w:type="dxa" w:w="362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Limiar</w:t>
            </w:r>
          </w:p>
        </w:tc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Confirmações</w:t>
            </w:r>
          </w:p>
        </w:tc>
        <w:tc>
          <w:tcPr>
            <w:tcW w:type="dxa" w:w="181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 da decisão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Taquicardia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acima de 120 bpm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amostras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Bradicardia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abaixo de 50 bpm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amostras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Febre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acima de 38,0 graus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amostras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Hipotermia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abaixo de 35,0 graus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amostras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Queda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impacto acima de 2500 mg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imediata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Imobilidade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abaixo de 60 mg por 10 min com ritmo alterado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 amostras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Sinal ausente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pulso por 4 segundos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imediata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Dispositivo mudo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mensagem no intervalo de manutenção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imediata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broker</w:t>
            </w:r>
          </w:p>
        </w:tc>
      </w:tr>
    </w:tbl>
    <w:p>
      <w:pPr>
        <w:spacing w:after="240" w:before="60" w:line="240" w:lineRule="auto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elaborada pelos autores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Todas as decisões clínicas são tomadas na borda, e o dashboard exibe, não decide. A única condição detectada fora do dispositivo é a última, e ela só pode ser detectada fora, porque um dispositivo que parou não tem como anunciar que parou.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5 EVIDÊNCIAS DE EXECUÇÃO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capturas a seguir foram obtidas durante uma execução continua do sistema, com o projeto rodando no Wokwi a 99 por cento da velocidade real e o Node-RED recebendo a telemetria pelo broker público. O arquivo de fluxo exportado acompanha o repositório na pasta de evidências.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Operação normal: LED virtual verde, 53 bpm em repouso, dispositivo online e fila zerada</w:t>
      </w:r>
    </w:p>
    <w:p>
      <w:pPr>
        <w:spacing w:after="6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captura de tela da execução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2 mostra o sistema em regime normal. O histórico de eventos clínicos esta vazio, a fila de sincronização marca zero e o campo de estado confirma o recebimento contínuo de telemetria. A temperatura de 36,6 graus e a umidade de 55 por cento vem do DHT22.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Alerta clínico: taquicardia detectada, LED virtual vermelho e eventos registrados no histórico</w:t>
      </w:r>
    </w:p>
    <w:p>
      <w:pPr>
        <w:spacing w:after="6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captura de tela da execução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3 captura o momento do alerta. O indicador exibe o motivo, a frequência, a temperatura e a magnitude do movimento, e o histórico a direita já registra duas ocorrências com horário e origem. A detecção só ocorreu após três amostras consecutivas acima do limiar, conforme a histerese descrita na seção 3.3.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 – O LED de alerta aceso no próprio dispositivo, evidenciando a detecção na borda</w:t>
      </w:r>
    </w:p>
    <w:p>
      <w:pPr>
        <w:spacing w:after="60"/>
        <w:jc w:val="center"/>
      </w:pPr>
      <w:r>
        <w:drawing>
          <wp:inline distT="0" distB="0" distL="0" distR="0">
            <wp:extent cx="5715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captura de tela da execução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4 é a evidência mais direta do argumento de Edge Computing. O LED vermelho está aceso no circuito, ou seja, no dispositivo, antes e independentemente de qualquer pacote ter alcancado a nuvem. O LED verde ao lado indica que o enlace estava ativo naquele instante, mas a decisão não dependeu dele.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 – Sincronização do backlog após a reconexão, com a série de amostras recuperadas</w:t>
      </w:r>
    </w:p>
    <w:p>
      <w:pPr>
        <w:spacing w:after="6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captura de tela da execução (2026).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5 documenta o ciclo completo de resiliência. A legenda do gráfico passa a exibir duas séries, e a segunda corresponde as amostras que estavam retidas no buffer e chegaram após o restabelecimento do enlace. No histórico, a mesma ocorrência aparece com origem sincronizada, e a fila voltou a zero, indicando drenagem completa. O indicador exibe sinal ausente porque o operador havia parado de acionar o botão de pulso, comportamento esperado e descrito na seção 3.3.</w:t>
      </w:r>
    </w:p>
    <w:p>
      <w:pPr>
        <w:spacing w:after="80" w:before="240" w:line="240" w:lineRule="auto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 – Circuito no momento da reconexão, com o LED de enlace restabelecido</w:t>
      </w:r>
    </w:p>
    <w:p>
      <w:pPr>
        <w:spacing w:after="6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captura de tela da execução (2026).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6 EFICIÊNCIA, SEGURANÇA E BOAS PRÁTICAS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a eficiência, a cadência adaptativa reduz em dois terços a taxa de gravação durante a contingência, que é exatamente quando a memória é o recurso escasso. O payload compacto e a conexão persistente mantém o consumo de dados em torno de 3,5 megabytes por mes por paciente na cadência de cinco segundos, viável até em plano de comunicação máquina a máquina de baixa capacidade.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a segurança, o protótipo usa broker público sem autenticação, o que está documentado como limitação e não como decisão de arquitetura. O caminho para TLS com credenciais está implementado e descrito na seção 4.5. O payload não transporta nome, documento ou data de nascimento: apenas o pseudônimo do paciente, que só é reidentificável com acesso a base da Fase 1, caracterizando pseudonimização coerente com o princípio da necessidade previsto na legislação.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Quanto as boas práticas, os buffers usam alocação estática, porque alocação dinâmica em dispositivo de longa duração fragmenta a memória e falha dias após a implantação, em um momento em que ninguém esta observando. Todos os parâmetros clínicos e de rede estão isolados em um arquivo de configuração, sem números mágicos no código de controle, o que permite auditar as decisões clínicas sem ler a lógica. As amostras descartadas são contabilizadas explicitamente e publicadas. E o sistema degrada parcialmente em vez de falhar por completo: sem o acelerômetro, segue operando com os demais sensores.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Vale registrar também uma decisão de estrutura descoberta durante a compilação. As estruturas de dados do firmware ficam em um cabeçalho próprio, e não no arquivo principal, porque o pré-processador do Arduino gera automaticamente os protótipos das funções e os insere logo após as diretivas de inclusão, antes de qualquer definição feita no corpo do arquivo. Um protótipo que mencione uma estrutura seria emitido antes de ela existir, e a compilação falharia. Esse detalhe não aparece em análise estática do código; somente a compilação real o revela.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7 LIMITAÇÕES RECONHECIDAS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pulso é simulado por botão, de modo que a frequência cardíaca reflete a mão do operador e não eletrofisiologia. Há ainda um efeito de escala observado durante a execução: o simulador roda abaixo do tempo real, e como o firmware calcula os intervalos com o relógio do dispositivo, que é tempo simulado, um toque a cada meio segundo de relógio de parede pode ser lido como um intervalo muito menor, inflando a frequência até o teto de 300 batimentos por minuto. O cálculo está correto; o que está fora de escala é o relógio do simulador. O teto cumpriu aqui exatamente o papel para o qual foi escrito, impedindo que um valor fisiologicamente impossível se propagasse para o painel.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O DHT22 mede temperatura ambiente e não corporal, com precisão de meio grau, insuficiente para decisão clínica real. O sistema de arquivos local é volátil no simulador, conforme o próprio enunciado reconhece. E o broker público não oferece confidencialidade.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Nenhuma dessas limitações compromete a demonstração arquitetural, que é o objetivo da fase, mas todas precisariam ser resolvidas antes de qualquer uso com paciente real. Registra-las faz parte do que entendemos por desenvolvimento responsável.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8 CONCLUSÃO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Esta fase percorreu o ciclo completo de dados em IoT aplicado a saúde: captura, processamento, transmissão, visualização e alerta. O resultado é um protótipo funcional em que a decisão clínica mora no dispositivo, a perda de conectividade não implica perda de informação diagnóstica e o painel apresenta ao profissional exatamente os mesmos limiares que o firmware usa para decidir.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 contribuição própria do grupo está menos na montagem do fluxo, que o enunciado descreve, e mais nas decisões que ele deixa em aberto: separar o buffer por prioridade clínica em vez de usar uma fila única, degradar a cadência em vez da cobertura, distinguir falha de sensor de evento clínico e dimensionar a memória por simulação em vez de por estimativa. Cada uma dessas escolhas foi quantificada ou verificada em execução, e não apenas afirmada.</w:t>
      </w:r>
    </w:p>
    <w:p>
      <w:pPr>
        <w:spacing w:after="120" w:before="0" w:line="360" w:lineRule="auto"/>
        <w:ind w:firstLine="708"/>
        <w:jc w:val="both"/>
      </w:pPr>
      <w:r>
        <w:rPr>
          <w:rFonts w:ascii="Arial" w:cs="Arial" w:eastAsia="Arial" w:hAnsi="Arial"/>
          <w:sz w:val="24"/>
          <w:szCs w:val="24"/>
        </w:rPr>
        <w:t xml:space="preserve">As próximas fases do CardioIA podem consumir diretamente o que foi construído aqui: a telemetria publicada em tópicos estruturados é um ponto de integração pronto para o sistema preditivo de eventos cardíacos e para a plataforma integrada previstas no mapa do projeto.</w:t>
      </w:r>
    </w:p>
    <w:p>
      <w:pPr>
        <w:pStyle w:val="Heading1"/>
        <w:spacing w:after="240" w:before="360" w:line="360" w:lineRule="auto"/>
        <w:jc w:val="left"/>
      </w:pPr>
      <w:r>
        <w:rPr>
          <w:rFonts w:ascii="Arial" w:cs="Arial" w:eastAsia="Arial" w:hAnsi="Arial"/>
          <w:b/>
          <w:bCs/>
          <w:color w:val="B3221E"/>
          <w:sz w:val="28"/>
          <w:szCs w:val="28"/>
        </w:rPr>
        <w:t xml:space="preserve">9 REFERÊNCIAS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BRASIL. Lei n. 13.709, de 14 de agosto de 2018. Lei Geral de Proteção de Dados Pessoais (LGPD). Brasília, DF: Presidência da República, 2018.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OASIS. MQTT Version 3.1.1: OASIS Standard. [S. l.]: OASIS, 2014.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ESPRESSIF SYSTEMS. ESP32 Séries Datasheet. Versão 4.6. Xangai: Espressif, 2023.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OPENJS FOUNDATION. Node-RED Documentation. [S. l.], 2024. Disponível em: nodered.org/docs.</w:t>
      </w:r>
    </w:p>
    <w:p>
      <w:pPr>
        <w:spacing w:after="16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WOKWI. Wokwi Documentation: ESP32 Simulation. [S. l.], 2025. Disponível em: docs.wokwi.com.</w:t>
      </w:r>
    </w:p>
    <w:sectPr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u9hfhzvciwdkst4uxbt1" Type="http://schemas.openxmlformats.org/officeDocument/2006/relationships/hyperlink" Target="https://wokwi.com/projects/477609293767887873" TargetMode="External"/><Relationship Id="rIdc_dddzekfummbb_sg9-va" Type="http://schemas.openxmlformats.org/officeDocument/2006/relationships/hyperlink" Target="https://github.com/joaostazevedo172/cardioia-fase3" TargetMode="External"/><Relationship Id="rId7" Type="http://schemas.openxmlformats.org/officeDocument/2006/relationships/image" Target="media/7230983919010449f778008fd3740370e5f0a325.png"/><Relationship Id="rId8" Type="http://schemas.openxmlformats.org/officeDocument/2006/relationships/image" Target="media/d40cc5a35027ac3a3613ea346826bafd8201c3ad.png"/><Relationship Id="rId9" Type="http://schemas.openxmlformats.org/officeDocument/2006/relationships/image" Target="media/b00bd6db40003712d2ce902802f7a6f0efcb71fd.png"/><Relationship Id="rId10" Type="http://schemas.openxmlformats.org/officeDocument/2006/relationships/image" Target="media/7e7dd5b0aec58ff788793f6ca355dc2b23728a16.png"/><Relationship Id="rId11" Type="http://schemas.openxmlformats.org/officeDocument/2006/relationships/image" Target="media/37b2ebe4afd99664638f9acf1b94a7c26d6cadae.png"/><Relationship Id="rId12" Type="http://schemas.openxmlformats.org/officeDocument/2006/relationships/image" Target="media/621e1286d2b3479a4c5e53d5d2595c5fd544b007.png"/><Relationship Id="rId15" Type="http://schemas.openxmlformats.org/officeDocument/2006/relationships/fontTable" Target="fontTable.xml"/><Relationship Id="rIdVideoYouTube01" Type="http://schemas.openxmlformats.org/officeDocument/2006/relationships/hyperlink" Target="https://www.youtube.com/watch?v=24XwCsWnDNU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CardioIA Fase 3 - Monitoramento Contínuo</dc:title>
  <dc:creator>Grupo Purkinje</dc:creator>
  <dc:description>Documento resumo da Fase 3 do projeto CardioIA</dc:description>
  <cp:lastModifiedBy>Un-named</cp:lastModifiedBy>
  <cp:revision>1</cp:revision>
  <dcterms:created xsi:type="dcterms:W3CDTF">2026-10-11T19:49:02.184Z</dcterms:created>
  <dcterms:modified xsi:type="dcterms:W3CDTF">2026-10-11T19:49:02.184Z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