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FACULDADE DE INFORMÁTICA E ADMINISTRAÇÃO PAULISTA – FIAP</w:t>
      </w:r>
    </w:p>
    <w:p>
      <w:pPr>
        <w:spacing w:after="1100"/>
        <w:jc w:val="center"/>
      </w:pPr>
      <w:r>
        <w:rPr>
          <w:rFonts w:ascii="Arial" w:cs="Arial" w:eastAsia="Arial" w:hAnsi="Arial"/>
          <w:sz w:val="24"/>
          <w:szCs w:val="24"/>
        </w:rPr>
        <w:t xml:space="preserve">Graduação em Inteligência Artificial – Turma 2TIAOR-2026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B3221E"/>
          <w:sz w:val="32"/>
          <w:szCs w:val="32"/>
        </w:rPr>
        <w:t xml:space="preserve">CARDIOIA – FASE 3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IR ALÉM 1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COMUNICAÇÃO AUTOMATIZADA COM REST E E-MAIL</w:t>
      </w:r>
    </w:p>
    <w:p>
      <w:pPr>
        <w:spacing w:after="9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Consumo de API, verificação de risco e notificação automática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Grupo Purkinje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Mirià Leal Mantovani – RM567811</w:t>
      </w:r>
    </w:p>
    <w:p>
      <w:pPr>
        <w:spacing w:after="700"/>
        <w:jc w:val="center"/>
      </w:pPr>
      <w:r>
        <w:rPr>
          <w:rFonts w:ascii="Arial" w:cs="Arial" w:eastAsia="Arial" w:hAnsi="Arial"/>
          <w:sz w:val="24"/>
          <w:szCs w:val="24"/>
        </w:rPr>
        <w:t xml:space="preserve">João Pedro Santos Azevedo – RM566701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Tutor: Leonardo Ruiz Orabona</w:t>
      </w: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Coordenador: André Godoi Chiovato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Repositório: </w:t>
      </w:r>
      <w:hyperlink w:history="1" r:id="rIddkxcxzgmuylfmojwq9vdr">
        <w:r>
          <w:rPr>
            <w:rFonts w:ascii="Arial" w:cs="Arial" w:eastAsia="Arial" w:hAnsi="Arial"/>
            <w:color w:val="0563C1"/>
            <w:sz w:val="24"/>
            <w:szCs w:val="24"/>
            <w:u w:val="single"/>
          </w:rPr>
          <w:t xml:space="preserve">github.com/joaostazevedo172/cardioia-fase3</w:t>
        </w:r>
      </w:hyperlink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Vídeo: </w:t>
      </w:r>
      <w:hyperlink w:history="1" r:id="rIdVideoYouTube01">
        <w:r>
          <w:rPr>
            <w:rFonts w:ascii="Arial" w:cs="Arial" w:eastAsia="Arial" w:hAnsi="Arial"/>
            <w:color w:val="0563C1"/>
            <w:sz w:val="24"/>
            <w:szCs w:val="24"/>
            <w:u w:val="single"/>
          </w:rPr>
          <w:t xml:space="preserve">youtube.com/watch?v=2YEolRwrxQs</w:t>
        </w:r>
      </w:hyperlink>
    </w:p>
    <w:p>
      <w:pPr>
        <w:spacing w:after="0"/>
        <w:jc w:val="center"/>
      </w:pPr>
      <w:r>
        <w:rPr>
          <w:rFonts w:ascii="Arial" w:cs="Arial" w:eastAsia="Arial" w:hAnsi="Arial"/>
          <w:sz w:val="24"/>
          <w:szCs w:val="24"/>
        </w:rPr>
        <w:t xml:space="preserve">São Paulo</w:t>
      </w:r>
    </w:p>
    <w:p>
      <w:pPr>
        <w:spacing w:after="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r>
        <w:br w:type="page"/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SUMÁRIO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3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1.1 Continuidade com o restante do projeto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3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ARQUITETURA DA SOLUÇÃO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3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2.1 Módulos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3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2.2 Por que sem framework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3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2.3 Rotas da API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4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LÓGICA DE VERIFICAÇÃO DE RISCO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4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3.1 As quatro propriedades preservadas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4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3.2 A coerência é testada, não apenas afirmada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5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AUTOMAÇÃO DE E-MAIL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5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4.1 Envio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5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4.2 Duas regras sobre quem recebe mensagem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6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RESULTADOS DA EXECUÇÃO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6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DUAS OBSERVAÇÕES QUE A EXECUÇÃO REVELOU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7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6.1 A detecção oscila; a notificação não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7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6.2 A imobilidade dispara antes da bradicardia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7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LIMITAÇÕES RECONHECIDAS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7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CONCLUSÃO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8</w:t>
      </w:r>
    </w:p>
    <w:p>
      <w:r>
        <w:br w:type="page"/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1 INTRODUÇÃO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Este documento descreve o Ir Além 1 da Fase 3 do projeto CardioIA: um serviço que fecha o ciclo entre o dispositivo vestível construído na fase e a equipe clínica, por HTTP e por correio eletrônico.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enunciado pede a simulação de um sistema de monitoramento que consuma e envie dados de sinais vitais por uma API REST em Python, incorpore lógica de detecção de riscos e acione uma automação de envio de e-mail em caso de alerta. São cinco módulos, todos em Python, e nenhuma dependência externa.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1.1 Continuidade com o restante do projeto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paciente monitorado é o CARD-0056, o mesmo identificador que atravessa as três fases já entregues do CardioIA. O formato do payload trafegado pela API é idêntico, campo por campo, ao que o ESP32 publica por MQTT na Fase 3. A consequência prática é que trocar a fonte de dados entre o broker e a API REST não exige alterar uma linha da lógica de risco.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2 ARQUITETURA DA SOLUÇÃO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2.1 Módulos</w:t>
      </w:r>
    </w:p>
    <w:p>
      <w:pPr>
        <w:spacing w:after="80" w:before="200" w:line="24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 – Módulos do serviço e suas responsabilidades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3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servidor_rest.py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REST que expõe a telemetria e recebe os alertas apurados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cliente_rest.py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Consome a série por GET e envia amostras e alertas por POST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regras_risco.py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Verificação de risco com histerese, espelhando o firmware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notificador_email.py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Montagem e disparo das mensagens, com supressão de repetição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servidor_smtp_teste.py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 SMTP local que recebe e arquiva as notificações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gerar_telemetria.py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Série sintética reproduzível pela semente 20260806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2.2 Por que sem framework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Flask e FastAPI seriam escolhas naturais para a API, e em produção seriam as corretas. A prioridade aqui, porém, é que o avaliador clone o repositório e execute com um único comando, sem instalar nada e sem ambiente virtual. Não há instalação de pacotes neste projeto.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custo dessa escolha é rotear as URLs manualmente, o que cabe em cerca de trinta linhas e fica visível no código em vez de escondido atrás de decoradores. Para um trabalho que será avaliado por terceiros, reprodutibilidade em um comando vale mais do que o conforto de um framework.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Pelo mesmo motivo o servidor SMTP é nosso. O módulo da biblioteca padrão que cumpria esse papel foi removido na versão 3.12 da linguagem, e a alternativa consagrada é uma dependência externa. Implementamos o mínimo do protocolo necessário para receber uma mensagem, cerca de cinquenta linhas, e o notificador fala SMTP de verdade contra ele.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2.3 Rotas da API</w:t>
      </w:r>
    </w:p>
    <w:p>
      <w:pPr>
        <w:spacing w:after="80" w:before="200" w:line="24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2 – Rotas expostas pelo serviço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0"/>
        <w:gridCol w:w="5261"/>
      </w:tblGrid>
      <w:tr>
        <w:trPr>
          <w:tblHeader/>
        </w:trPr>
        <w:tc>
          <w:tcPr>
            <w:tcW w:type="dxa" w:w="381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 e rota</w:t>
            </w:r>
          </w:p>
        </w:tc>
        <w:tc>
          <w:tcPr>
            <w:tcW w:type="dxa" w:w="526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/saude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do serviço e contagens</w:t>
            </w:r>
          </w:p>
        </w:tc>
      </w:tr>
      <w:tr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/api/v1/pacientes/&lt;id&gt;/telemetria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Série de sinais vitais, com filtros de início e limite</w:t>
            </w:r>
          </w:p>
        </w:tc>
      </w:tr>
      <w:tr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/api/v1/pacientes/&lt;id&gt;/telemetria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Ingestão de uma amostra nova</w:t>
            </w:r>
          </w:p>
        </w:tc>
      </w:tr>
      <w:tr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/api/v1/pacientes/&lt;id&gt;/alertas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Alertas já registrados</w:t>
            </w:r>
          </w:p>
        </w:tc>
      </w:tr>
      <w:tr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/api/v1/pacientes/&lt;id&gt;/alertas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um alerta apurado pelo cliente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cliente exercita as duas direções que o enunciado pede. Consome a série por GET e envia em dois momentos: uma amostra nova por POST na rota de telemetria, demonstrando ingestão, e cada alerta apurado por POST na rota de alertas, devolvendo ao servidor a conclusão do processamento.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3 LÓGICA DE VERIFICAÇÃO DE RISCO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3.1 As quatro propriedades preservadas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As regras são as mesmas do firmware do ESP32, reescritas em Python e aplicadas sobre a série recebida. Quatro propriedades foram preservadas deliberadamente, porque são o que separa um detector útil de um gerador de alarmes falsos.</w:t>
      </w:r>
    </w:p>
    <w:p>
      <w:pPr>
        <w:spacing w:after="80" w:before="200" w:line="24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3 – Propriedades da lógica de detecção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810"/>
        <w:gridCol w:w="3447"/>
      </w:tblGrid>
      <w:tr>
        <w:trPr>
          <w:tblHeader/>
        </w:trPr>
        <w:tc>
          <w:tcPr>
            <w:tcW w:type="dxa" w:w="1814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Propriedade</w:t>
            </w:r>
          </w:p>
        </w:tc>
        <w:tc>
          <w:tcPr>
            <w:tcW w:type="dxa" w:w="381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3447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Histerese</w:t>
            </w:r>
          </w:p>
        </w:tc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Taquicardia, bradicardia, febre e hipotermia exigem três amostras consecutivas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Uma leitura ruim isolada não pode acionar um alerta médico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Impacto imediato</w:t>
            </w:r>
          </w:p>
        </w:tc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Queda dispara na primeira amostra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Uma queda é evento único; esperar confirmação perderia o evento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Falha não é evento</w:t>
            </w:r>
          </w:p>
        </w:tc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Frequência zero vira sinal ausente, nunca bradicardia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Eletrodo solto não é emergência; confundir os dois gera fadiga de alarme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Imobilidade condicional</w:t>
            </w:r>
          </w:p>
        </w:tc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Só alerta acompanhada de ritmo alterado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Paciente parado com ritmo normal está dormindo, não desmaiado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3.2 A coerência é testada, não apenas afirmada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arquivo de testes lê o arquivo de configuração do firmware, em linguagem C, e compara valor a valor com a configuração do serviço em Python. Se alguém alterar o limiar de taquicardia no dispositivo e esquecer de alterar aqui, a suíte quebra.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Sem esse teste a divergência seria silenciosa e perversa: o paciente veria o LED vermelho aceso no peito enquanto a central não receberia mensagem alguma, ou o contrário. Um sistema de monitoramento que discorda de si mesmo é pior que um sistema que não monitora, porque produz confiança injustificada.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suíte tem vinte e duas verificações, cobrindo a coerência com o firmware, a histerese, o disparo imediato do impacto, a distinção entre falha técnica e evento clínico, a condicionalidade da imobilidade e a supressão de repetição. Todas passam.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4 AUTOMAÇÃO DE E-MAIL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4.1 Envio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envio usa a biblioteca padrão e fala SMTP de verdade, com as etapas de identificação, remetente, destinatários e dados. As mensagens recebidas são arquivadas em formato EML, que qualquer cliente de correio abre. Migrar para um provedor real significa trocar o endereço, a porta e acrescentar a camada de transporte seguro e a autenticação; a montagem da mensagem e o disparo permanecem idênticos.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Cada mensagem traz o paciente, o dispositivo, o momento do monitoramento, o motivo, o critério que disparou o alerta, os quatro sinais vitais no instante e os limiares em vigor. Cabeçalhos próprios identificam paciente, motivo e gravidade, permitindo que um cliente de correio filtre ou priorize sem abrir o corpo.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4.2 Duas regras sobre quem recebe mensagem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primeira é que falha técnica não acorda o plantão. O sinal ausente é registrado no relatório e na API, mas não gera notificação clínica, porque acordar a equipe por um eletrodo solto é o caminho mais curto para que o próximo alerta real seja ignorado.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segunda é a supressão de repetição por trezentos segundos. Um episódio de taquicardia de dez minutos produz dezenas de amostras em alerta; notificar todas geraria dezenas de mensagens idênticas e a equipe passaria a ignorar a caixa de entrada. É a mesma fadiga de alarme que o firmware evita no nível do sensor, combatida agora no nível da notificação.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5 RESULTADOS DA EXECUÇÃO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série sintética de quarenta e cinco minutos foi construída para exercitar todas as regras, inclusive as que só aparecem em combinação. Os números abaixo são a saída real do programa de demonstração.</w:t>
      </w:r>
    </w:p>
    <w:p>
      <w:pPr>
        <w:spacing w:after="80" w:before="200" w:line="24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4 – Resumo da execução de ponta a ponta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3"/>
        <w:gridCol w:w="3628"/>
      </w:tblGrid>
      <w:tr>
        <w:trPr>
          <w:tblHeader/>
        </w:trPr>
        <w:tc>
          <w:tcPr>
            <w:tcW w:type="dxa" w:w="5443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3628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4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Amostras consumidas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540</w:t>
            </w:r>
          </w:p>
        </w:tc>
      </w:tr>
      <w:tr>
        <w:tc>
          <w:tcPr>
            <w:tcW w:type="dxa" w:w="54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Requisições HTTP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54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Transições de estado detectadas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4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Alertas registrados na API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4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Mensagens enviadas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Notificações suprimidas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spacing w:after="80" w:before="200" w:line="24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5 – Eventos detectados e decisão de notificação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0"/>
        <w:gridCol w:w="2903"/>
        <w:gridCol w:w="3628"/>
      </w:tblGrid>
      <w:tr>
        <w:trPr>
          <w:tblHeader/>
        </w:trPr>
        <w:tc>
          <w:tcPr>
            <w:tcW w:type="dxa" w:w="25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Momento</w:t>
            </w:r>
          </w:p>
        </w:tc>
        <w:tc>
          <w:tcPr>
            <w:tcW w:type="dxa" w:w="2903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Motivo</w:t>
            </w:r>
          </w:p>
        </w:tc>
        <w:tc>
          <w:tcPr>
            <w:tcW w:type="dxa" w:w="3628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Notificação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08:10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Taquicardia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enviada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10:40 · 11:55 · 12:30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Taquicardia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suprimidas pela janela de 300 s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18:50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Febre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enviada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25:00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Queda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enviada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38:20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Imobilidade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enviada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38:30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Bradicardia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enviada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43:05 · 43:15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Imobilidade e bradicardia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suprimidas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Metade dos eventos não gerou mensagem. É exatamente o comportamento desejado: dez notificações para cinco situações clínicas distintas seria ruído.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6 DUAS OBSERVAÇÕES QUE A EXECUÇÃO REVELOU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6.1 A detecção oscila; a notificação não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frequência cardíaca durante o episódio de taquicardia transita em torno de cento e trinta e quatro batimentos por minuto e ocasionalmente cai abaixo do limiar, o que zera o contador e produz uma nova transição de estado quando volta a subir. Daí as quatro detecções de taquicardia para dois episódios.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histerese protege contra o falso positivo de entrada, mas não impede esse tremor em torno do limiar. Quem absorve o tremor é a janela de supressão do notificador. As duas camadas são complementares, e nenhuma delas sozinha resolveria o problema.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6.2 A imobilidade dispara antes da bradicardia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Aos trinta e oito minutos e vinte segundos o paciente está imóvel há mais de dez minutos e o ritmo acabou de cair abaixo do limiar de bradicardia. A bradicardia ainda está cumprindo as três confirmações, então quem alerta primeiro é a imobilidade; dez segundos depois a bradicardia confirma.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Essa ordem é consequência da precedência das regras e faz sentido clínico: suspeita de síncope não deve esperar histerese. Foi um comportamento emergente da combinação das regras, não um caso previsto no projeto, e optamos por mantê-lo justamente por ser clinicamente defensável.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7 LIMITAÇÕES RECONHECIDAS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API mantém estado em memória, sem persistência. Um banco de dados seria desproporcional para um protótipo cujo objetivo é demonstrar o fluxo HTTP, mas qualquer uso real exigiria persistência e, com ela, as questões de retenção e descarte que a legislação de proteção de dados impõe a dados de saúde.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Não há autenticação nas rotas, o que é adequado para um serviço preso ao endereço local e inadequado para qualquer exposição em rede. O transporte SMTP é local e sem criptografia. A série é sintética e reproduzível pela semente 20260806, a mesma usada desde a Fase 1, e reproduz o modelo do nosso dispositivo, não a variabilidade de uma população real.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8 CONCLUSÃO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serviço cumpre os quatro entregáveis do enunciado: o cliente REST que consome e envia, a lógica de verificação de risco, a automação de e-mail e este relatório. A contribuição própria do grupo está menos na montagem do fluxo, que o enunciado descreve, e mais nas decisões que ele deixa em aberto.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Três se destacam. A ausência deliberada de dependências, que torna a entrega reproduzível em um comando. O teste que compara os limiares do serviço com os do firmware, impedindo que as duas metades do sistema divirjam em silêncio. E a separação entre detectar e notificar, que permite ao detector ser sensível sem que a equipe clínica pague por isso em ruído.</w:t>
      </w:r>
    </w:p>
    <w:sectPr>
      <w:pgSz w:w="11906" w:h="16838" w:orient="portrait"/>
      <w:pgMar w:top="1700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B3221E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B3221E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kxcxzgmuylfmojwq9vdr" Type="http://schemas.openxmlformats.org/officeDocument/2006/relationships/hyperlink" Target="https://github.com/joaostazevedo172/cardioia-fase3" TargetMode="External"/><Relationship Id="rId8" Type="http://schemas.openxmlformats.org/officeDocument/2006/relationships/fontTable" Target="fontTable.xml"/><Relationship Id="rIdVideoYouTube01" Type="http://schemas.openxmlformats.org/officeDocument/2006/relationships/hyperlink" Target="https://www.youtube.com/watch?v=2YEolRwrxQs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CardioIA Fase 3 - IR ALÉM 1</dc:title>
  <dc:creator>Grupo Purkinje</dc:creator>
  <cp:lastModifiedBy>Un-named</cp:lastModifiedBy>
  <cp:revision>1</cp:revision>
  <dcterms:created xsi:type="dcterms:W3CDTF">2026-10-12T15:06:56.553Z</dcterms:created>
  <dcterms:modified xsi:type="dcterms:W3CDTF">2026-10-12T15:06:56.553Z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