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AJUSTES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1-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Pensei em melhorar o layout, não sabia como explicar, falei com a Perplexity, rsrs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Georgia" w:cs="Georgia" w:eastAsia="Georgia" w:hAnsi="Georgia"/>
          <w:sz w:val="36"/>
          <w:szCs w:val="36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highlight w:val="white"/>
          <w:rtl w:val="0"/>
        </w:rPr>
        <w:t xml:space="preserve">A landing page do FlixPrev pode ser otimizada para destacar as 3 categorias de agentes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Georgia" w:cs="Georgia" w:eastAsia="Georgia" w:hAnsi="Georgia"/>
          <w:sz w:val="36"/>
          <w:szCs w:val="36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highlight w:val="white"/>
          <w:rtl w:val="0"/>
        </w:rPr>
        <w:t xml:space="preserve">(Direito Previdenciário com 28,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Georgia" w:cs="Georgia" w:eastAsia="Georgia" w:hAnsi="Georgia"/>
          <w:sz w:val="36"/>
          <w:szCs w:val="36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highlight w:val="white"/>
          <w:rtl w:val="0"/>
        </w:rPr>
        <w:t xml:space="preserve">Trabalhista com 6,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Georgia" w:cs="Georgia" w:eastAsia="Georgia" w:hAnsi="Georgia"/>
          <w:sz w:val="36"/>
          <w:szCs w:val="36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highlight w:val="white"/>
          <w:rtl w:val="0"/>
        </w:rPr>
        <w:t xml:space="preserve">Tributário com 5, 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Georgia" w:cs="Georgia" w:eastAsia="Georgia" w:hAnsi="Georgia"/>
          <w:sz w:val="36"/>
          <w:szCs w:val="36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highlight w:val="white"/>
          <w:rtl w:val="0"/>
        </w:rPr>
        <w:t xml:space="preserve">Agentes de Prompt para IA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Georgia" w:cs="Georgia" w:eastAsia="Georgia" w:hAnsi="Georgia"/>
          <w:sz w:val="36"/>
          <w:szCs w:val="36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highlight w:val="white"/>
          <w:rtl w:val="0"/>
        </w:rPr>
        <w:t xml:space="preserve">STJ, com 1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highlight w:val="white"/>
          <w:rtl w:val="0"/>
        </w:rPr>
        <w:t xml:space="preserve">de forma mais limpa e escalável, usando abas ou cards responsivos para evitar sobrecarga visual.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​​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Estrutura Principal Sugerida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Adote um layout em seções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hero banner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 inicial apresentando as categorias como botões ou tabs clicáveis (ex: tabs horizontais para desktop e accordion para mobile). Isso mantém o conteúdo completo sem listas longas iniciais, priorizando navegação intuitiva.​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360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         Hero: Logo + slogan + tabs: "Previdenciário (28)", "Trabalhista (6)", "Tributário (5)", "Prompts IA".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360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         Cada aba expande cards individuais dos agentes (título, descrição curta, ícone jurídico/AI, botão "Acessar").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360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         Rodapé com busca global e filtros (ex: por tema ou popularidade).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Otimizações Visuais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Use grid responsivo (CSS Flexbox ou Grid) para cards em 3-4 colunas no desktop, empilhando em 1 coluna no mobile. Espaçamento amplo (padding 20-30px), cores neutras (azul para previdenciário, verde para trabalhista, laranja para tributário, roxo para IA) e fontes sans-serif limpas.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2.</w:t>
      </w:r>
      <w:r w:rsidDel="00000000" w:rsidR="00000000" w:rsidRPr="00000000">
        <w:rPr>
          <w:sz w:val="36"/>
          <w:szCs w:val="36"/>
          <w:rtl w:val="0"/>
        </w:rPr>
        <w:t xml:space="preserve"> Dentro da área do usuário podemos otimizar a lista de agentes tb,  apontando categorias, ele clica e aí aparecem os agentes daquela categoria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2.1 -</w:t>
      </w:r>
      <w:r w:rsidDel="00000000" w:rsidR="00000000" w:rsidRPr="00000000">
        <w:rPr>
          <w:sz w:val="36"/>
          <w:szCs w:val="36"/>
          <w:rtl w:val="0"/>
        </w:rPr>
        <w:t xml:space="preserve"> sempre deixar a possibilidade do usuário, na mesma tela, ter um atalho para as demais categorias ,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color w:val="434343"/>
          <w:sz w:val="36"/>
          <w:szCs w:val="36"/>
          <w:rtl w:val="0"/>
        </w:rPr>
        <w:t xml:space="preserve">2.2- </w:t>
      </w:r>
      <w:r w:rsidDel="00000000" w:rsidR="00000000" w:rsidRPr="00000000">
        <w:rPr>
          <w:sz w:val="36"/>
          <w:szCs w:val="36"/>
          <w:rtl w:val="0"/>
        </w:rPr>
        <w:t xml:space="preserve">Ná área do usuário, eliminar um card do direito trabalhista, sincronizar em um só , imagem abaix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91038" cy="317058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170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3. </w:t>
      </w:r>
      <w:r w:rsidDel="00000000" w:rsidR="00000000" w:rsidRPr="00000000">
        <w:rPr>
          <w:b w:val="1"/>
          <w:bCs w:val="1"/>
          <w:color w:val="ff9900"/>
          <w:sz w:val="36"/>
          <w:szCs w:val="36"/>
          <w:rtl w:val="0"/>
        </w:rPr>
        <w:t xml:space="preserve">Direito Trabalhista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3"/>
        <w:pBdr>
          <w:top w:color="e2e8f0" w:space="0" w:sz="4" w:val="single"/>
          <w:left w:color="e2e8f0" w:space="0" w:sz="4" w:val="single"/>
          <w:bottom w:color="e2e8f0" w:space="0" w:sz="4" w:val="single"/>
          <w:right w:color="e2e8f0" w:space="0" w:sz="4" w:val="single"/>
        </w:pBdr>
        <w:spacing w:after="0" w:before="90" w:line="259" w:lineRule="auto"/>
        <w:rPr>
          <w:color w:val="000000"/>
          <w:sz w:val="32"/>
          <w:szCs w:val="32"/>
          <w:highlight w:val="white"/>
        </w:rPr>
      </w:pPr>
      <w:r w:rsidDel="00000000" w:rsidR="00000000" w:rsidRPr="00000000">
        <w:rPr>
          <w:color w:val="000000"/>
          <w:sz w:val="32"/>
          <w:szCs w:val="32"/>
          <w:highlight w:val="white"/>
          <w:rtl w:val="0"/>
        </w:rPr>
        <w:t xml:space="preserve">1- Agente DirTrab -  Direito Trabalhista Macro</w:t>
      </w:r>
    </w:p>
    <w:p w:rsidR="00000000" w:rsidDel="00000000" w:rsidP="00000000" w:rsidRDefault="00000000" w:rsidRPr="00000000" w14:paraId="0000001E">
      <w:pPr>
        <w:spacing w:line="240" w:lineRule="auto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2-Agente AtosTr</w:t>
      </w:r>
    </w:p>
    <w:p w:rsidR="00000000" w:rsidDel="00000000" w:rsidP="00000000" w:rsidRDefault="00000000" w:rsidRPr="00000000" w14:paraId="0000001F">
      <w:pPr>
        <w:spacing w:line="240" w:lineRule="auto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3- Agente NR.s Pro </w:t>
      </w:r>
    </w:p>
    <w:p w:rsidR="00000000" w:rsidDel="00000000" w:rsidP="00000000" w:rsidRDefault="00000000" w:rsidRPr="00000000" w14:paraId="00000020">
      <w:pPr>
        <w:spacing w:line="240" w:lineRule="auto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4- Agente SúmulasCore </w:t>
      </w:r>
    </w:p>
    <w:p w:rsidR="00000000" w:rsidDel="00000000" w:rsidP="00000000" w:rsidRDefault="00000000" w:rsidRPr="00000000" w14:paraId="00000021">
      <w:pPr>
        <w:spacing w:line="240" w:lineRule="auto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5- Agente PrecedentX</w:t>
      </w:r>
    </w:p>
    <w:p w:rsidR="00000000" w:rsidDel="00000000" w:rsidP="00000000" w:rsidRDefault="00000000" w:rsidRPr="00000000" w14:paraId="00000022">
      <w:pPr>
        <w:spacing w:line="240" w:lineRule="auto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6- Agente JurisPrud 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ff99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4. </w:t>
      </w:r>
      <w:r w:rsidDel="00000000" w:rsidR="00000000" w:rsidRPr="00000000">
        <w:rPr>
          <w:b w:val="1"/>
          <w:bCs w:val="1"/>
          <w:color w:val="ff9900"/>
          <w:sz w:val="36"/>
          <w:szCs w:val="36"/>
          <w:rtl w:val="0"/>
        </w:rPr>
        <w:t xml:space="preserve">Agentes Previdenciários </w:t>
      </w:r>
    </w:p>
    <w:p w:rsidR="00000000" w:rsidDel="00000000" w:rsidP="00000000" w:rsidRDefault="00000000" w:rsidRPr="00000000" w14:paraId="00000025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 ACNIS- Agente CNIS</w:t>
      </w:r>
    </w:p>
    <w:p w:rsidR="00000000" w:rsidDel="00000000" w:rsidP="00000000" w:rsidRDefault="00000000" w:rsidRPr="00000000" w14:paraId="00000026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ProcAdm 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Processo Administrativo</w:t>
      </w:r>
    </w:p>
    <w:p w:rsidR="00000000" w:rsidDel="00000000" w:rsidP="00000000" w:rsidRDefault="00000000" w:rsidRPr="00000000" w14:paraId="00000027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( dê um destaque para este agente )</w:t>
      </w: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</w:t>
      </w:r>
      <w:hyperlink r:id="rId7">
        <w:r w:rsidDel="00000000" w:rsidR="00000000" w:rsidRPr="00000000">
          <w:rPr>
            <w:b w:val="1"/>
            <w:bCs w:val="1"/>
            <w:sz w:val="26"/>
            <w:szCs w:val="26"/>
            <w:highlight w:val="white"/>
            <w:rtl w:val="0"/>
          </w:rPr>
          <w:t xml:space="preserve">A.pr</w:t>
        </w:r>
      </w:hyperlink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é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103-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Aposentadoria Pré EC103</w:t>
      </w:r>
    </w:p>
    <w:p w:rsidR="00000000" w:rsidDel="00000000" w:rsidP="00000000" w:rsidRDefault="00000000" w:rsidRPr="00000000" w14:paraId="0000002A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Apiurb</w:t>
      </w:r>
    </w:p>
    <w:p w:rsidR="00000000" w:rsidDel="00000000" w:rsidP="00000000" w:rsidRDefault="00000000" w:rsidRPr="00000000" w14:paraId="0000002C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Agente Aposentadoria Idade Urbana</w:t>
      </w:r>
    </w:p>
    <w:p w:rsidR="00000000" w:rsidDel="00000000" w:rsidP="00000000" w:rsidRDefault="00000000" w:rsidRPr="00000000" w14:paraId="0000002D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AIP-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Aposentadoria Incapacidade Permanente</w:t>
      </w:r>
    </w:p>
    <w:p w:rsidR="00000000" w:rsidDel="00000000" w:rsidP="00000000" w:rsidRDefault="00000000" w:rsidRPr="00000000" w14:paraId="0000002F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AEsp-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Aposentadoria Especial</w:t>
      </w:r>
    </w:p>
    <w:p w:rsidR="00000000" w:rsidDel="00000000" w:rsidP="00000000" w:rsidRDefault="00000000" w:rsidRPr="00000000" w14:paraId="00000031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ARur-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Aposentadoria Rural</w:t>
      </w:r>
    </w:p>
    <w:p w:rsidR="00000000" w:rsidDel="00000000" w:rsidP="00000000" w:rsidRDefault="00000000" w:rsidRPr="00000000" w14:paraId="00000033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AIT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Incapacidade Temporária</w:t>
      </w:r>
    </w:p>
    <w:p w:rsidR="00000000" w:rsidDel="00000000" w:rsidP="00000000" w:rsidRDefault="00000000" w:rsidRPr="00000000" w14:paraId="00000035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AA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Auxílio-Acidente</w:t>
      </w:r>
    </w:p>
    <w:p w:rsidR="00000000" w:rsidDel="00000000" w:rsidP="00000000" w:rsidRDefault="00000000" w:rsidRPr="00000000" w14:paraId="00000037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Rec-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Auxílio-Reclusão</w:t>
      </w:r>
    </w:p>
    <w:p w:rsidR="00000000" w:rsidDel="00000000" w:rsidP="00000000" w:rsidRDefault="00000000" w:rsidRPr="00000000" w14:paraId="00000039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SMar-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Salário-Maternidade</w:t>
      </w:r>
    </w:p>
    <w:p w:rsidR="00000000" w:rsidDel="00000000" w:rsidP="00000000" w:rsidRDefault="00000000" w:rsidRPr="00000000" w14:paraId="0000003B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SFam-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Salário-Família</w:t>
      </w:r>
    </w:p>
    <w:p w:rsidR="00000000" w:rsidDel="00000000" w:rsidP="00000000" w:rsidRDefault="00000000" w:rsidRPr="00000000" w14:paraId="0000003D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PMor-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Pensão por Morte</w:t>
      </w:r>
    </w:p>
    <w:p w:rsidR="00000000" w:rsidDel="00000000" w:rsidP="00000000" w:rsidRDefault="00000000" w:rsidRPr="00000000" w14:paraId="0000003F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RTransiç-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Regras de Transição</w:t>
      </w:r>
    </w:p>
    <w:p w:rsidR="00000000" w:rsidDel="00000000" w:rsidP="00000000" w:rsidRDefault="00000000" w:rsidRPr="00000000" w14:paraId="00000041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RMI-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Cálculo de RMI</w:t>
      </w:r>
    </w:p>
    <w:p w:rsidR="00000000" w:rsidDel="00000000" w:rsidP="00000000" w:rsidRDefault="00000000" w:rsidRPr="00000000" w14:paraId="00000043">
      <w:pPr>
        <w:spacing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APCD-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Agente Aposentadoria PCD</w:t>
      </w:r>
    </w:p>
    <w:p w:rsidR="00000000" w:rsidDel="00000000" w:rsidP="00000000" w:rsidRDefault="00000000" w:rsidRPr="00000000" w14:paraId="00000045">
      <w:pPr>
        <w:spacing w:after="16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CQS-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Carência &amp; Qualidade de Segurado</w:t>
      </w:r>
    </w:p>
    <w:p w:rsidR="00000000" w:rsidDel="00000000" w:rsidP="00000000" w:rsidRDefault="00000000" w:rsidRPr="00000000" w14:paraId="00000046">
      <w:pPr>
        <w:spacing w:lin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AMB-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Manutenção de Benefícios</w:t>
      </w:r>
    </w:p>
    <w:p w:rsidR="00000000" w:rsidDel="00000000" w:rsidP="00000000" w:rsidRDefault="00000000" w:rsidRPr="00000000" w14:paraId="00000048">
      <w:pPr>
        <w:spacing w:after="240" w:before="280"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ASoc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- Assistência Social</w:t>
      </w:r>
    </w:p>
    <w:p w:rsidR="00000000" w:rsidDel="00000000" w:rsidP="00000000" w:rsidRDefault="00000000" w:rsidRPr="00000000" w14:paraId="00000049">
      <w:pPr>
        <w:spacing w:after="16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BPC -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BPC Idoso/PCD</w:t>
      </w:r>
    </w:p>
    <w:p w:rsidR="00000000" w:rsidDel="00000000" w:rsidP="00000000" w:rsidRDefault="00000000" w:rsidRPr="00000000" w14:paraId="0000004A">
      <w:pPr>
        <w:spacing w:after="160" w:line="240" w:lineRule="auto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 CRPS-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Conselho Recursos Previdência Social</w:t>
      </w:r>
    </w:p>
    <w:p w:rsidR="00000000" w:rsidDel="00000000" w:rsidP="00000000" w:rsidRDefault="00000000" w:rsidRPr="00000000" w14:paraId="0000004B">
      <w:pPr>
        <w:spacing w:after="16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ReVB-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Revisão de Benefícios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60" w:line="240" w:lineRule="auto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 RPPS-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Agente Regime Próprio de Previdência Social </w:t>
      </w:r>
    </w:p>
    <w:p w:rsidR="00000000" w:rsidDel="00000000" w:rsidP="00000000" w:rsidRDefault="00000000" w:rsidRPr="00000000" w14:paraId="0000004D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ACPIN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-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Agente Ações Civis Públicas do Processo Administrativo Previdenciário</w:t>
      </w:r>
    </w:p>
    <w:p w:rsidR="00000000" w:rsidDel="00000000" w:rsidP="00000000" w:rsidRDefault="00000000" w:rsidRPr="00000000" w14:paraId="0000004E">
      <w:pPr>
        <w:spacing w:after="160" w:line="259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Agente SúmFed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( Tribunais Regionais Federais: </w:t>
      </w:r>
    </w:p>
    <w:p w:rsidR="00000000" w:rsidDel="00000000" w:rsidP="00000000" w:rsidRDefault="00000000" w:rsidRPr="00000000" w14:paraId="0000004F">
      <w:pPr>
        <w:spacing w:after="160" w:line="259" w:lineRule="auto"/>
        <w:rPr>
          <w:color w:val="555555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color w:val="ff99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5. </w:t>
      </w:r>
      <w:r w:rsidDel="00000000" w:rsidR="00000000" w:rsidRPr="00000000">
        <w:rPr>
          <w:b w:val="1"/>
          <w:bCs w:val="1"/>
          <w:color w:val="ff9900"/>
          <w:sz w:val="36"/>
          <w:szCs w:val="36"/>
          <w:highlight w:val="white"/>
          <w:rtl w:val="0"/>
        </w:rPr>
        <w:t xml:space="preserve">Direito Tributário</w:t>
      </w:r>
    </w:p>
    <w:p w:rsidR="00000000" w:rsidDel="00000000" w:rsidP="00000000" w:rsidRDefault="00000000" w:rsidRPr="00000000" w14:paraId="00000053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DTrib: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Agente Direito Tributário 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alibri" w:cs="Calibri" w:eastAsia="Calibri" w:hAnsi="Calibri"/>
          <w:sz w:val="36"/>
          <w:szCs w:val="3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highlight w:val="white"/>
          <w:rtl w:val="0"/>
        </w:rPr>
        <w:t xml:space="preserve">CTN Expert</w:t>
      </w: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- Agente de Interpretação Tributária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alibri" w:cs="Calibri" w:eastAsia="Calibri" w:hAnsi="Calibri"/>
          <w:sz w:val="36"/>
          <w:szCs w:val="3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Ajuda a explicar conceitos como lançamento, tributos, obrigações acessórias, garantias e penalidades.</w:t>
      </w:r>
    </w:p>
    <w:p w:rsidR="00000000" w:rsidDel="00000000" w:rsidP="00000000" w:rsidRDefault="00000000" w:rsidRPr="00000000" w14:paraId="00000056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Calibri" w:cs="Calibri" w:eastAsia="Calibri" w:hAnsi="Calibri"/>
          <w:sz w:val="36"/>
          <w:szCs w:val="3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highlight w:val="white"/>
          <w:rtl w:val="0"/>
        </w:rPr>
        <w:t xml:space="preserve">REFIS-IA</w:t>
      </w: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- Agente Reforma Tributária Atual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alibri" w:cs="Calibri" w:eastAsia="Calibri" w:hAnsi="Calibri"/>
          <w:sz w:val="36"/>
          <w:szCs w:val="3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Monitorar e interpretar as mudanças da Reforma Tributária (CL 214/25 e correlatas)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alibri" w:cs="Calibri" w:eastAsia="Calibri" w:hAnsi="Calibri"/>
          <w:sz w:val="36"/>
          <w:szCs w:val="3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Explica a transição dos tributos antigos para IBS/CBS/IS + impactos setoriais.</w:t>
      </w:r>
    </w:p>
    <w:p w:rsidR="00000000" w:rsidDel="00000000" w:rsidP="00000000" w:rsidRDefault="00000000" w:rsidRPr="00000000" w14:paraId="0000005A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Calibri" w:cs="Calibri" w:eastAsia="Calibri" w:hAnsi="Calibri"/>
          <w:sz w:val="36"/>
          <w:szCs w:val="3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highlight w:val="white"/>
          <w:rtl w:val="0"/>
        </w:rPr>
        <w:t xml:space="preserve">TAX-Rend</w:t>
      </w: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- Simulador inteligente de cálculos, deduções, retenções e alíquotas aplicáveis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alibri" w:cs="Calibri" w:eastAsia="Calibri" w:hAnsi="Calibri"/>
          <w:sz w:val="36"/>
          <w:szCs w:val="3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Calcular tributos de renda (pessoa física e jurídica) segundo a legislação vigente, incluindo mudanças de 2026.</w:t>
      </w:r>
    </w:p>
    <w:p w:rsidR="00000000" w:rsidDel="00000000" w:rsidP="00000000" w:rsidRDefault="00000000" w:rsidRPr="00000000" w14:paraId="0000005D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Calibri" w:cs="Calibri" w:eastAsia="Calibri" w:hAnsi="Calibri"/>
          <w:sz w:val="36"/>
          <w:szCs w:val="3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highlight w:val="white"/>
          <w:rtl w:val="0"/>
        </w:rPr>
        <w:t xml:space="preserve">FedTax</w:t>
      </w: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- Guia de obrigações, prazos de pagamento (DARF), retenção na fonte, impacto de reformas. Agrupar e explicar tributos federais administrados pela RFB (</w:t>
      </w: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IRRF</w:t>
      </w: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IOF</w:t>
      </w: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CSLL</w:t>
      </w:r>
      <w:r w:rsidDel="00000000" w:rsidR="00000000" w:rsidRPr="00000000">
        <w:rPr>
          <w:rFonts w:ascii="Calibri" w:cs="Calibri" w:eastAsia="Calibri" w:hAnsi="Calibri"/>
          <w:sz w:val="36"/>
          <w:szCs w:val="36"/>
          <w:highlight w:val="white"/>
          <w:rtl w:val="0"/>
        </w:rPr>
        <w:t xml:space="preserve">, Cofins, etc).</w:t>
      </w:r>
    </w:p>
    <w:p w:rsidR="00000000" w:rsidDel="00000000" w:rsidP="00000000" w:rsidRDefault="00000000" w:rsidRPr="00000000" w14:paraId="0000005F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color w:val="ff0000"/>
          <w:sz w:val="36"/>
          <w:szCs w:val="36"/>
          <w:highlight w:val="white"/>
          <w:rtl w:val="0"/>
        </w:rPr>
        <w:t xml:space="preserve">6.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No cadastro de novos agentes, falta:</w:t>
      </w:r>
    </w:p>
    <w:p w:rsidR="00000000" w:rsidDel="00000000" w:rsidP="00000000" w:rsidRDefault="00000000" w:rsidRPr="00000000" w14:paraId="00000061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 o espaço para cadastrar a CATEGORIA</w:t>
      </w:r>
    </w:p>
    <w:p w:rsidR="00000000" w:rsidDel="00000000" w:rsidP="00000000" w:rsidRDefault="00000000" w:rsidRPr="00000000" w14:paraId="00000062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 Local para inserir novos links</w:t>
      </w:r>
    </w:p>
    <w:p w:rsidR="00000000" w:rsidDel="00000000" w:rsidP="00000000" w:rsidRDefault="00000000" w:rsidRPr="00000000" w14:paraId="00000063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5243513" cy="499091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4990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Depois destes ajustes, vamos vendo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a.pr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