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Agente STJSum; </w:t>
      </w:r>
      <w:hyperlink r:id="rId6">
        <w:r w:rsidDel="00000000" w:rsidR="00000000" w:rsidRPr="00000000">
          <w:rPr>
            <w:color w:val="1155cc"/>
            <w:highlight w:val="green"/>
            <w:u w:val="single"/>
            <w:rtl w:val="0"/>
          </w:rPr>
          <w:t xml:space="preserve">https://www.trt2.jus.br/geral/tribunal2/Trib_Sup/STJ/SUM_STJ.html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rt2.jus.br/geral/tribunal2/Trib_Sup/STJ/SUM_STJ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