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MENDES RH  ·  AVIVA / RIO QUENTE RESORTS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Prévia da segunda rodada de escuta</w:t>
      </w:r>
    </w:p>
    <w:p>
      <w:pPr>
        <w:spacing w:after="340"/>
      </w:pPr>
      <w:r>
        <w:rPr>
          <w:rFonts w:ascii="Calibri" w:cs="Calibri" w:eastAsia="Calibri" w:hAnsi="Calibri"/>
          <w:color w:val="52514E"/>
          <w:sz w:val="25"/>
          <w:szCs w:val="25"/>
        </w:rPr>
        <w:t xml:space="preserve">Salário, condições de trabalho e efetivação · temporada de julho de 2026</w:t>
      </w:r>
    </w:p>
    <w:p>
      <w:pPr>
        <w:spacing w:after="120" w:line="276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79 respostas coletadas em 10 de agosto de 2026, em um único dia, entre as 120 pessoas que já haviam respondido a primeira rodada. Este documento é a prévia para a reunião: traz o que mudou, o que foi confirmado e o que precisa de decisão.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2514E"/>
          <w:sz w:val="21"/>
          <w:szCs w:val="21"/>
        </w:rPr>
        <w:t xml:space="preserve">Todos os números são os mesmos exibidos na aba Pesquisa do dashboard, calculados pelo mesmo código. Se um percentual for questionado, ele pode ser reproduzido na tela na hora.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Cinco conclusões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rodada 2 foi desenhada para medir o que a rodada 1 só havia levantado por campo aberto. Ela confirma três hipóteses, descarta uma e revela uma oportunidade que ninguém tinha pedido.</w:t>
      </w:r>
    </w:p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1. A hipótese do salário caiu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91,1% disseram que o valor recebido atendeu ou superou o que esperavam ao aceitar a vaga. Apenas 2,5% consideram o pagamento pior que o de outros temporários da região, contra 45,6% que o consideram melhor. A nota média foi 8,09. O salário é exigente — o índice de recomendação dele, 30,4, é o mais baixo dos três medidos — mas não é a ferida que explica 43,1% de absenteísmo e 18 saídas antecipadas.</w:t>
      </w:r>
    </w:p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2. O que se pede não é só diária maior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54,4% querem aumento no valor da diária, mas 39,2% aceitariam bônus por não faltar e outros 39,2% bônus por ficar até o fim da temporada. Os dois últimos custam menos que um reajuste linear, são condicionados a resultado e atacam exatamente os dois problemas da rodada 1. Existe uma saída negociável aqui.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3. O respeito é o achado mais desconfortável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Apenas 57,0% se sentiram sempre respeitados no ambiente de trabalho. 31,6% responderam “na maior parte do tempo” e 11,4% responderam “poucas vezes”. Em uma temporada de poucas semanas, 43,0% relatarem alguma falha de respeito é um número alto — e ele confirma, com base estatística, o que a rodada 1 só tinha em comentário solto.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4. Quem não é respeitado avalia pior tudo, inclusive o salário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Quem marcou “poucas vezes” dá nota 6,33 ao salário e 6,33 às condições. Quem marcou “sempre” ou “na maior parte do tempo” dá, na média dos dois grupos, 8,36 e 8,75. É o mesmo valor de diária, na mesma função. Não é uma escada: é um degrau. O desrespeito, quando acontece, contamina a avaliação inteira — e são 9 pessoas, poucas o bastante para tratar caso a caso.</w:t>
      </w:r>
    </w:p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5. A demanda por efetivação é quase unânime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81,0% querem ser efetivados como CLT na Aviva com certeza; 96,2% querem ou considerariam. Apenas 3,8% descartam. Para a maioria dessas pessoas o contrato temporário não é um bico de temporada — é uma porta de entrada. E hoje não existe trilha formal atrás dessa porta.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Os números da rodada 2</w:t>
      </w:r>
    </w:p>
    <w:p>
      <w:pPr>
        <w:pStyle w:val="Heading2"/>
        <w:spacing w:after="120" w:before="260"/>
      </w:pPr>
      <w:r>
        <w:t xml:space="preserve">2.1 Participação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rodada 2 foi disparada por WhatsApp apenas para quem já havia respondido a rodada 1, com sorteio de 10 prêmios de R$ 70 via PIX como incentivo. O retorno foi de 65,8% em um único dia. Uma taxa dessas, em uma segunda pesquisa com o mesmo público, é ela própria um indicador: as pessoas acreditam que responder muda alguma coisa.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3400"/>
        <w:gridCol w:w="1300"/>
        <w:gridCol w:w="1400"/>
        <w:gridCol w:w="1200"/>
        <w:gridCol w:w="2060"/>
      </w:tblGrid>
      <w:tr>
        <w:trPr>
          <w:tblHeader/>
        </w:trPr>
        <w:tc>
          <w:tcPr>
            <w:tcW w:type="dxa" w:w="34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Rodada</w:t>
            </w:r>
          </w:p>
        </w:tc>
        <w:tc>
          <w:tcPr>
            <w:tcW w:type="dxa" w:w="1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Convites</w:t>
            </w:r>
          </w:p>
        </w:tc>
        <w:tc>
          <w:tcPr>
            <w:tcW w:type="dxa" w:w="14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1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20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Janela de coleta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 · experiência da temporada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178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67,4%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 a 10 de agosto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 · salário, condições, efetivação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120</w:t>
            </w:r>
          </w:p>
        </w:tc>
        <w:tc>
          <w:tcPr>
            <w:tcW w:type="dxa" w:w="14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79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65,8%</w:t>
            </w:r>
          </w:p>
        </w:tc>
        <w:tc>
          <w:tcPr>
            <w:tcW w:type="dxa" w:w="20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 de agosto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898781"/>
          <w:sz w:val="19"/>
          <w:szCs w:val="19"/>
        </w:rPr>
        <w:t xml:space="preserve">A rodada 1 cresceu de 114 para 120 respostas desde a última apresentação: seis pessoas responderam depois do fechamento anterior. Todos os indicadores da aba foram recalculados.</w:t>
      </w:r>
    </w:p>
    <w:p>
      <w:pPr>
        <w:pStyle w:val="Heading2"/>
        <w:spacing w:after="120" w:before="260"/>
      </w:pPr>
      <w:r>
        <w:t xml:space="preserve">2.2 Os três índices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Todos calculados pelo mesmo método: percentual de notas 9 e 10 menos percentual de notas 0 a 6, em uma escala de −100 a +100. Acima de 50 é excelente em qualquer referência de mercado; entre 0 e 30, positivo mas exigente.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3100"/>
        <w:gridCol w:w="900"/>
        <w:gridCol w:w="1300"/>
        <w:gridCol w:w="1100"/>
        <w:gridCol w:w="2960"/>
      </w:tblGrid>
      <w:tr>
        <w:trPr>
          <w:tblHeader/>
        </w:trPr>
        <w:tc>
          <w:tcPr>
            <w:tcW w:type="dxa" w:w="3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média</w:t>
            </w:r>
          </w:p>
        </w:tc>
        <w:tc>
          <w:tcPr>
            <w:tcW w:type="dxa" w:w="1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9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Recomendação da Mendes RH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9,07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66,7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Excelente</w:t>
            </w:r>
          </w:p>
        </w:tc>
      </w:tr>
      <w:tr>
        <w:tc>
          <w:tcPr>
            <w:tcW w:type="dxa" w:w="3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Condições de trabalho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79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8,54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48,1</w:t>
            </w:r>
          </w:p>
        </w:tc>
        <w:tc>
          <w:tcPr>
            <w:tcW w:type="dxa" w:w="29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Bom, com frentes claras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Valor do salário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79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8,09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30,4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Positivo, exigente</w:t>
            </w:r>
          </w:p>
        </w:tc>
      </w:tr>
    </w:tbl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A ordem é a mensagem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As pessoas gostam mais da Mendes RH do que das condições de trabalho, e mais das condições do que do salário. O vínculo com a empresa está sustentando a experiência — não o contrário. Isso é um ativo real, e é frágil: ele depende de a operação continuar entregando presença.</w:t>
      </w:r>
    </w:p>
    <w:p>
      <w:pPr>
        <w:pStyle w:val="Heading2"/>
        <w:spacing w:after="120" w:before="260"/>
      </w:pPr>
      <w:r>
        <w:t xml:space="preserve">2.3 O que se pede no pagamento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3700"/>
        <w:gridCol w:w="1100"/>
        <w:gridCol w:w="1200"/>
        <w:gridCol w:w="3360"/>
      </w:tblGrid>
      <w:tr>
        <w:trPr>
          <w:tblHeader/>
        </w:trPr>
        <w:tc>
          <w:tcPr>
            <w:tcW w:type="dxa" w:w="3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faria diferença</w:t>
            </w:r>
          </w:p>
        </w:tc>
        <w:tc>
          <w:tcPr>
            <w:tcW w:type="dxa" w:w="1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Citações</w:t>
            </w:r>
          </w:p>
        </w:tc>
        <w:tc>
          <w:tcPr>
            <w:tcW w:type="dxa" w:w="1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dos 79</w:t>
            </w:r>
          </w:p>
        </w:tc>
        <w:tc>
          <w:tcPr>
            <w:tcW w:type="dxa" w:w="3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Natureza do custo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Valor maior da diária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54,4%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Custo fixo, negociação com o cliente</w:t>
            </w:r>
          </w:p>
        </w:tc>
      </w:tr>
      <w:tr>
        <w:tc>
          <w:tcPr>
            <w:tcW w:type="dxa" w:w="3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Bônus por não faltar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39,2%</w:t>
            </w:r>
          </w:p>
        </w:tc>
        <w:tc>
          <w:tcPr>
            <w:tcW w:type="dxa" w:w="3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Condicionado a resultado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Bônus por ficar até o fim da temporada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39,2%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Condicionado a resultado</w:t>
            </w:r>
          </w:p>
        </w:tc>
      </w:tr>
      <w:tr>
        <w:tc>
          <w:tcPr>
            <w:tcW w:type="dxa" w:w="3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Pagamento semanal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15,2%</w:t>
            </w:r>
          </w:p>
        </w:tc>
        <w:tc>
          <w:tcPr>
            <w:tcW w:type="dxa" w:w="3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Fluxo de caixa, sem custo adicional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Ajuda de custo transporte/alimentação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3,8%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Custo fixo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898781"/>
          <w:sz w:val="19"/>
          <w:szCs w:val="19"/>
        </w:rPr>
        <w:t xml:space="preserve">Cada pessoa podia marcar até 2 opções, então a soma passa de 100%. Entre as 15 pessoas que deram nota 6 ou menos ao salário, 11 pedem diária maior — mas 6 aceitariam bônus por assiduidade e 4 por conclusão de contrato.</w:t>
      </w:r>
    </w:p>
    <w:p>
      <w:pPr>
        <w:pStyle w:val="Heading2"/>
        <w:spacing w:after="120" w:before="260"/>
      </w:pPr>
      <w:r>
        <w:t xml:space="preserve">2.4 O que precisa melhorar nas condições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3700"/>
        <w:gridCol w:w="1100"/>
        <w:gridCol w:w="1200"/>
        <w:gridCol w:w="3360"/>
      </w:tblGrid>
      <w:tr>
        <w:trPr>
          <w:tblHeader/>
        </w:trPr>
        <w:tc>
          <w:tcPr>
            <w:tcW w:type="dxa" w:w="3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dxa" w:w="1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Citações</w:t>
            </w:r>
          </w:p>
        </w:tc>
        <w:tc>
          <w:tcPr>
            <w:tcW w:type="dxa" w:w="1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dos 79</w:t>
            </w:r>
          </w:p>
        </w:tc>
        <w:tc>
          <w:tcPr>
            <w:tcW w:type="dxa" w:w="3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 quem depende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Alimentação e refeitório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31,6%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</w:t>
            </w:r>
          </w:p>
        </w:tc>
      </w:tr>
      <w:tr>
        <w:tc>
          <w:tcPr>
            <w:tcW w:type="dxa" w:w="3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Local para descanso e cadeiras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23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29,1%</w:t>
            </w:r>
          </w:p>
        </w:tc>
        <w:tc>
          <w:tcPr>
            <w:tcW w:type="dxa" w:w="3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Escala e folgas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27,8%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Negociação conjunta</w:t>
            </w:r>
          </w:p>
        </w:tc>
      </w:tr>
      <w:tr>
        <w:tc>
          <w:tcPr>
            <w:tcW w:type="dxa" w:w="3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Tratamento pelos funcionários efetivos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22,8%</w:t>
            </w:r>
          </w:p>
        </w:tc>
        <w:tc>
          <w:tcPr>
            <w:tcW w:type="dxa" w:w="3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 — custo zero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Transporte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19,0%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Negociação conjunta</w:t>
            </w:r>
          </w:p>
        </w:tc>
      </w:tr>
      <w:tr>
        <w:tc>
          <w:tcPr>
            <w:tcW w:type="dxa" w:w="3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Banheiros e vestiários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19,0%</w:t>
            </w:r>
          </w:p>
        </w:tc>
        <w:tc>
          <w:tcPr>
            <w:tcW w:type="dxa" w:w="3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Nada, estava bom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19,0%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Uniforme e equipamentos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11,4%</w:t>
            </w:r>
          </w:p>
        </w:tc>
        <w:tc>
          <w:tcPr>
            <w:tcW w:type="dxa" w:w="3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Tratamento pela segurança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5,1%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 — custo zero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898781"/>
          <w:sz w:val="19"/>
          <w:szCs w:val="19"/>
        </w:rPr>
        <w:t xml:space="preserve">Até 3 marcações por pessoa. A coluna “de quem depende” é a que organiza a conversa da reunião: dois dos nove itens não custam dinheiro nenhum e são exatamente os dois que a rodada 1 já tinha apontado.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Respeito no ambiente de trabalho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Esta pergunta é nova. Ela foi incluída porque a rodada 1 trouxe, em um campo aberto, um relato que exigia apuração formal — e não havia como saber se aquilo era exceção ou padrão. Agora há.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3200"/>
        <w:gridCol w:w="1300"/>
        <w:gridCol w:w="1100"/>
        <w:gridCol w:w="1800"/>
        <w:gridCol w:w="1960"/>
      </w:tblGrid>
      <w:tr>
        <w:trPr>
          <w:tblHeader/>
        </w:trPr>
        <w:tc>
          <w:tcPr>
            <w:tcW w:type="dxa" w:w="3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Você se sentiu respeitado(a)?</w:t>
            </w:r>
          </w:p>
        </w:tc>
        <w:tc>
          <w:tcPr>
            <w:tcW w:type="dxa" w:w="1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1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8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salário</w:t>
            </w:r>
          </w:p>
        </w:tc>
        <w:tc>
          <w:tcPr>
            <w:tcW w:type="dxa" w:w="19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condições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Sempre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45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57,0%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8,20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9,02</w:t>
            </w:r>
          </w:p>
        </w:tc>
      </w:tr>
      <w:tr>
        <w:tc>
          <w:tcPr>
            <w:tcW w:type="dxa" w:w="3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Na maior parte do tempo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31,6%</w:t>
            </w:r>
          </w:p>
        </w:tc>
        <w:tc>
          <w:tcPr>
            <w:tcW w:type="dxa" w:w="18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8,52</w:t>
            </w:r>
          </w:p>
        </w:tc>
        <w:tc>
          <w:tcPr>
            <w:tcW w:type="dxa" w:w="19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8,48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Poucas vezes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11,4%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6,33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6,33</w:t>
            </w:r>
          </w:p>
        </w:tc>
      </w:tr>
      <w:tr>
        <w:tc>
          <w:tcPr>
            <w:tcW w:type="dxa" w:w="3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Nunca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0,0%</w:t>
            </w:r>
          </w:p>
        </w:tc>
        <w:tc>
          <w:tcPr>
            <w:tcW w:type="dxa" w:w="18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Não é uma escada, é um degrau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Entre “sempre” e “na maior parte do tempo” as notas praticamente não mudam. Quem marcou “poucas vezes” despenca em ambas — recebendo o mesmo valor de diária que os colegas de função. O desrespeito não incomoda um pouco: quando acontece, contamina a avaliação inteira. E são 9 pessoas — poucas o bastante para tratar caso a caso, em vez de por política geral.</w:t>
      </w:r>
    </w:p>
    <w:p>
      <w:pPr>
        <w:pStyle w:val="Heading2"/>
        <w:spacing w:after="120" w:before="260"/>
      </w:pPr>
      <w:r>
        <w:t xml:space="preserve">3.1 Onde o problema se concentra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3700"/>
        <w:gridCol w:w="900"/>
        <w:gridCol w:w="1300"/>
        <w:gridCol w:w="1700"/>
        <w:gridCol w:w="1760"/>
      </w:tblGrid>
      <w:tr>
        <w:trPr>
          <w:tblHeader/>
        </w:trPr>
        <w:tc>
          <w:tcPr>
            <w:tcW w:type="dxa" w:w="3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Sempre</w:t>
            </w:r>
          </w:p>
        </w:tc>
        <w:tc>
          <w:tcPr>
            <w:tcW w:type="dxa" w:w="1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 maior parte</w:t>
            </w:r>
          </w:p>
        </w:tc>
        <w:tc>
          <w:tcPr>
            <w:tcW w:type="dxa" w:w="17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Poucas vezes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Garçom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Atendente de Parque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Camareira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Auxiliar de Serviços Gerais / Limpeza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Atendente de Hotelaria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Recepcionista de Parques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Camareira é o caso mais agudo: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3 das 8 respondentes marcaram “poucas vezes” — 37,5%, contra 11,4% no geral. É a mesma função que já aparecia com os piores indicadores na rodada 1, e agora também tem a pior nota de salário (6,62 contra 8,09 geral). Garçom tem o maior volume absoluto de insatisfação: 12 das 21 pessoas não marcaram “sempre”.</w:t>
      </w:r>
    </w:p>
    <w:p>
      <w:pPr>
        <w:pStyle w:val="Heading2"/>
        <w:spacing w:after="120" w:before="260"/>
      </w:pPr>
      <w:r>
        <w:t xml:space="preserve">3.2 Relatos abertos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14 pessoas escreveram no campo aberto de relato. Os casos que citam pessoas ou postos específicos seguem pelo canal de conduta, com registro formal. O que interessa à leitura coletiva é o padrão em que eles se distribuem.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Os relatos se distribuem em quatro padrões: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Fronteira efetivo × temporário.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O padrão dominante. Sobrecarga transferida ao temporário, comentários depreciativos, recepção hostil em postos específicos. Dois relatos independentes citam o mesmo PDV.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Conduta individual nominal.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Um relato cita, com nome e função, uma pessoa cuja conduta descrita — gritar e tratar colegas com grosseria — coincide com o caso já reportado na seção 10.1 do relatório da rodada 1, ali sem nome. São dois respondentes independentes, em rodadas diferentes, descrevendo o mesmo comportamento. Isso deixa de ser relato isolado. Há ainda uma segunda menção nominal, em campo de comentário e de teor bem mais brando, a uma supervisora de um posto específico.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Identidade de gênero.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Uma pessoa em transição relata ter tido o nome social ignorado de forma reiterada. É um tema de política, não de conduta isolada: exige orientação formal a supervisores e ajuste no cadastro de contratação.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Crachá e portaria.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Um relato descreve constrangimento na entrada da rodoviária por não ter recebido crachá na contratação nem orientação sobre sua necessidade. É falha de processo da Mendes RH e se resolve nesta semana.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Encaminhamento sugerido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 corroboração entre rodadas muda o estatuto do caso da seção 10.1: não é mais a percepção de uma pessoa. Ele e o caso de nome social devem ir ao canal de conduta antes da próxima temporada, com registro formal, e antes de qualquer promoção da pessoa mencionada a função de treinamento. A pesquisa é anônima e não identifica quem relatou, mas identifica posto e função de quem foi mencionado — suficiente para apurar sem expor o respondente. Os textos integrais estão no anexo interno, fora deste documento de reunião.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Efetivação CLT na Aviva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Interesse em efetivação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Sim, com certeza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81,0%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Talvez, depende das condições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15,2%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3,8%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Entre os 15 que responderam “talvez” ou “não”, o que pesa contra é escala e horários (6 citações), já ter outro trabalho ou estudo (5), salário (5) e distância ou transporte (4). Base pequena — leitura indicativa, não conclusiva.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65 pessoas indicaram a área em que gostariam de trabalhar como efetivas. As mais citadas são bares e restaurantes, hotelaria e governança, e parques e recreação — ou seja, as mesmas áreas em que já atuaram como temporárias.</w:t>
      </w:r>
    </w:p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O que isso significa em custo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76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Essas pessoas já foram captadas, treinadas, integradas à operação e demonstraram que ficam até o fim do contrato. Uma trilha formal de efetivação converteria parte do custo de captação da próxima temporada em investimento com retorno conhecido. É a única ação desta lista que depende mais da Aviva do que da Mendes RH — e é a que tem o maior ganho reputacional para ambas.</w:t>
      </w:r>
    </w:p>
    <w:p>
      <w:pPr>
        <w:pStyle w:val="Heading1"/>
        <w:spacing w:after="160" w:before="320"/>
      </w:pPr>
      <w:r>
        <w:t xml:space="preserve">5. O que as duas rodadas dizem juntas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100"/>
        <w:gridCol w:w="2900"/>
        <w:gridCol w:w="2900"/>
        <w:gridCol w:w="1460"/>
      </w:tblGrid>
      <w:tr>
        <w:trPr>
          <w:tblHeader/>
        </w:trPr>
        <w:tc>
          <w:tcPr>
            <w:tcW w:type="dxa" w:w="2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Rodada 1</w:t>
            </w:r>
          </w:p>
        </w:tc>
        <w:tc>
          <w:tcPr>
            <w:tcW w:type="dxa" w:w="2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Rodada 2</w:t>
            </w:r>
          </w:p>
        </w:tc>
        <w:tc>
          <w:tcPr>
            <w:tcW w:type="dxa" w:w="14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Veredito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Tratamento pelos efetivos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Recorrente no campo aberto + 1 relato de assédio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22,8% pedem melhora · 43,0% com falha de respeito</w:t>
            </w:r>
          </w:p>
        </w:tc>
        <w:tc>
          <w:tcPr>
            <w:tcW w:type="dxa" w:w="1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Transporte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30% de quem faltou citou · 90,0% dependem do fretado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19,0% pedem melhora</w:t>
            </w:r>
          </w:p>
        </w:tc>
        <w:tc>
          <w:tcPr>
            <w:tcW w:type="dxa" w:w="14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Escala e folgas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Aparece no que teria feito ficar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27,8% pedem melhora · maior freio à efetivação</w:t>
            </w:r>
          </w:p>
        </w:tc>
        <w:tc>
          <w:tcPr>
            <w:tcW w:type="dxa" w:w="1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Alimentação e descanso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Pedidos pontuais no campo aberto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31,6% alimentação · 29,1% cadeiras</w:t>
            </w:r>
          </w:p>
        </w:tc>
        <w:tc>
          <w:tcPr>
            <w:tcW w:type="dxa" w:w="14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AMPLIADO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Salário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Baixa presença nas causas de falta e de saída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91,1% com expectativa atendida</w:t>
            </w:r>
          </w:p>
        </w:tc>
        <w:tc>
          <w:tcPr>
            <w:tcW w:type="dxa" w:w="1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DESCARTADO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898781"/>
          <w:sz w:val="19"/>
          <w:szCs w:val="19"/>
        </w:rPr>
        <w:t xml:space="preserve">“Confirmado” significa que o tema apareceu espontaneamente na primeira rodada e foi dimensionado na segunda. A rodada 1 levantou hipóteses; a rodada 2 foi desenhada para medi-las.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Plano de ação atualizado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Onze ações, ordenadas por relação entre impacto esperado e custo. As cinco primeiras não dependem de negociação com o cliente.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00"/>
        <w:gridCol w:w="2900"/>
        <w:gridCol w:w="2900"/>
        <w:gridCol w:w="900"/>
        <w:gridCol w:w="2160"/>
      </w:tblGrid>
      <w:tr>
        <w:trPr>
          <w:tblHeader/>
        </w:trPr>
        <w:tc>
          <w:tcPr>
            <w:tcW w:type="dxa" w:w="5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na pesquisa</w:t>
            </w:r>
          </w:p>
        </w:tc>
        <w:tc>
          <w:tcPr>
            <w:tcW w:type="dxa" w:w="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21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Conversa de 5 minutos no 3º e no 7º dia, com registro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Decisão de sair concentrada na 1ª semana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Zerar erro e atraso de pagamento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Quem teve erro faltou 62% contra 38%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Entregar crachá na contratação e explicar seu uso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Relato de constrangimento na portaria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Apurar os relatos nominais pelo canal de conduta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 relatos nominais + caso de nome social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 + Aviva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Orientação formal sobre nome social a supervisores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 relato reiterado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Alinhamento com efetivos e segurança sobre o temporário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22,8% pedem · 43,0% com falha de respeito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Diagnóstico dirigido em Camareira e governança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37,5% “poucas vezes” · pior nota de salário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Baixo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 + Aviva</w:t>
            </w:r>
          </w:p>
        </w:tc>
      </w:tr>
      <w:tr>
        <w:tc>
          <w:tcPr>
            <w:tcW w:type="dxa" w:w="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Canal de escuta ativo durante a temporada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Quem não tem voz falta 70% contra 36%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Baixo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Piloto de bônus por assiduidade e por conclusão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39,2% aceitariam cada um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Médio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Negociação</w:t>
            </w:r>
          </w:p>
        </w:tc>
      </w:tr>
      <w:tr>
        <w:tc>
          <w:tcPr>
            <w:tcW w:type="dxa" w:w="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Auditoria do transporte fretado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90,0% dependem · 19,0% pedem melhora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Médio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Negociação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Trilha formal de efetivação com a Aviva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96,2% querem ou considerariam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Médio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</w:t>
            </w:r>
          </w:p>
        </w:tc>
      </w:tr>
    </w:tbl>
    <w:p>
      <w:pPr>
        <w:pStyle w:val="Heading2"/>
        <w:spacing w:after="120" w:before="260"/>
      </w:pPr>
      <w:r>
        <w:t xml:space="preserve">6.1 O que precisa de decisão nesta reunião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Aprovar as ações 1 a 5, que são internas e podem começar esta semana.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Levar as ações 6 e 7 à Aviva como pauta formal, não como comentário.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Definir se o piloto de bônus (ação 9) entra na negociação da próxima temporada e em qual função ele seria testado.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Abrir a conversa sobre a trilha de efetivação (ação 11) — a demanda existe e está documentada.</w:t>
      </w:r>
    </w:p>
    <w:p>
      <w:pPr>
        <w:pStyle w:val="Heading2"/>
        <w:spacing w:after="120" w:before="260"/>
      </w:pPr>
      <w:r>
        <w:t xml:space="preserve">6.2 O que fica de fora desta prévia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Os dados de entrega da primeira semana de agosto entram pela aba Visão Geral, com o filtro de período já ajustado para separar julho de agosto. Eles não fazem parte deste documento porque respondem a outra pergunta: esta prévia é sobre a temporada encerrada, aquela é sobre a operação corrente.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898781"/>
          <w:sz w:val="17"/>
          <w:szCs w:val="17"/>
        </w:rPr>
        <w:t xml:space="preserve">Gerado a partir da mesma base do dashboard · Mendes RH · agosto de 2026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D36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B0B0B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Prévia da segunda rodada de escuta</dc:title>
  <dc:creator>Mendes RH</dc:creator>
  <cp:lastModifiedBy>Un-named</cp:lastModifiedBy>
  <cp:revision>1</cp:revision>
  <dcterms:created xsi:type="dcterms:W3CDTF">2026-08-11T02:23:52.525Z</dcterms:created>
  <dcterms:modified xsi:type="dcterms:W3CDTF">2026-08-11T02:23:52.546Z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