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100"/>
      </w:pPr>
      <w:r>
        <w:rPr>
          <w:rFonts w:ascii="Calibri" w:cs="Calibri" w:eastAsia="Calibri" w:hAnsi="Calibri"/>
          <w:b/>
          <w:bCs/>
          <w:color w:val="1C5CAB"/>
          <w:sz w:val="20"/>
          <w:szCs w:val="20"/>
        </w:rPr>
        <w:t xml:space="preserve">MENDES RH  ·  AVIVA / RIO QUENTE RESORTS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0B0B"/>
          <w:sz w:val="56"/>
          <w:szCs w:val="56"/>
        </w:rPr>
        <w:t xml:space="preserve">Escuta do Temporário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D366B"/>
          <w:sz w:val="30"/>
          <w:szCs w:val="30"/>
        </w:rPr>
        <w:t xml:space="preserve">Relatório completo das duas rodadas</w:t>
      </w:r>
    </w:p>
    <w:p>
      <w:pPr>
        <w:spacing w:after="360"/>
      </w:pPr>
      <w:r>
        <w:rPr>
          <w:rFonts w:ascii="Calibri" w:cs="Calibri" w:eastAsia="Calibri" w:hAnsi="Calibri"/>
          <w:color w:val="52514E"/>
          <w:sz w:val="25"/>
          <w:szCs w:val="25"/>
        </w:rPr>
        <w:t xml:space="preserve">Temporada de julho de 2026 · resultados, leitura e plano de ação</w:t>
      </w:r>
    </w:p>
    <w:p>
      <w:pPr>
        <w:spacing w:after="130" w:line="280"/>
      </w:pPr>
      <w:r>
        <w:rPr>
          <w:rFonts w:ascii="Calibri" w:cs="Calibri" w:eastAsia="Calibri" w:hAnsi="Calibri"/>
          <w:color w:val="52514E"/>
          <w:sz w:val="21"/>
          <w:szCs w:val="21"/>
        </w:rPr>
        <w:t xml:space="preserve">199 respostas no total: 120 na primeira rodada, sobre a experiência da temporada, e 79 na segunda, sobre salário, condições de trabalho e efetivação. Coleta entre 6 e 10 de agosto de 2026.</w:t>
      </w:r>
    </w:p>
    <w:p>
      <w:pPr>
        <w:spacing w:after="130" w:line="280"/>
      </w:pPr>
      <w:r>
        <w:rPr>
          <w:rFonts w:ascii="Calibri" w:cs="Calibri" w:eastAsia="Calibri" w:hAnsi="Calibri"/>
          <w:i/>
          <w:iCs/>
          <w:color w:val="52514E"/>
          <w:sz w:val="21"/>
          <w:szCs w:val="21"/>
        </w:rPr>
        <w:t xml:space="preserve">Todos os números deste relatório são os mesmos exibidos na aba Pesquisa do dashboard, calculados pelo mesmo código a partir da mesma base. Se um percentual for questionado, ele pode ser reproduzido na tela na hora.</w:t>
      </w:r>
    </w:p>
    <w:p>
      <w:r>
        <w:br w:type="page"/>
      </w:r>
    </w:p>
    <w:p>
      <w:pPr>
        <w:pStyle w:val="Heading1"/>
        <w:spacing w:after="170" w:before="340"/>
      </w:pPr>
      <w:r>
        <w:t xml:space="preserve">Sumário</w:t>
      </w:r>
    </w:p>
    <w:p>
      <w:pPr>
        <w:spacing w:after="130" w:line="28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Atualize o sumário no Word com Ctrl+A e depois F9 para que os números de página apareçam.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70" w:before="340"/>
      </w:pPr>
      <w:r>
        <w:t xml:space="preserve">1. Resumo executivo</w:t>
      </w:r>
    </w:p>
    <w:p>
      <w:pPr>
        <w:spacing w:after="13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Duas rodadas de escuta foram aplicadas ao final da temporada de julho. A primeira perguntou como foi a experiência e por que as pessoas faltaram ou saíram antes do fim; respondeu 120 de 178 convidados (67,4%). A segunda foi desenhada para medir hipóteses que a primeira só havia levantado por campo aberto — salário, condições de trabalho e interesse em efetivação — e foi disparada apenas para quem já havia respondido: 79 respostas em 120 convites (65,8%), em um único dia.</w:t>
      </w:r>
    </w:p>
    <w:p>
      <w:pPr>
        <w:spacing w:after="13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Sete conclusões sustentam o resto deste documento.</w:t>
      </w:r>
    </w:p>
    <w:p>
      <w:pPr>
        <w:pBdr>
          <w:left w:val="single" w:color="0C7A3E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0C7A3E"/>
          <w:sz w:val="21"/>
          <w:szCs w:val="21"/>
        </w:rPr>
        <w:t xml:space="preserve">1. A falta é majoritariamente involuntária</w:t>
      </w:r>
    </w:p>
    <w:p>
      <w:pPr>
        <w:pBdr>
          <w:left w:val="single" w:color="0C7A3E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Entre as 54 pessoas que declararam ao menos uma ausência, 48,1% apontaram problema de saúde, 29,6% apontaram cansaço físico acumulado, 29,6% apontaram transporte — não consegui chegar. Desânimo com o trabalho, bico no mesmo dia e trabalho pesado demais para o valor pago somam 10,2% das citações. O absenteísmo desta temporada é um problema de saúde e de logística, não de engajamento.</w:t>
      </w:r>
    </w:p>
    <w:p>
      <w:pPr>
        <w:pBdr>
          <w:left w:val="single" w:color="0C7A3E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0C7A3E"/>
          <w:sz w:val="21"/>
          <w:szCs w:val="21"/>
        </w:rPr>
        <w:t xml:space="preserve">2. Quem não tem com quem falar falta quase o dobro</w:t>
      </w:r>
    </w:p>
    <w:p>
      <w:pPr>
        <w:pBdr>
          <w:left w:val="single" w:color="0C7A3E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Entre quem se sentiu à vontade para falar quando algo estava errado, 36% faltaram. Entre quem não se sentiu, 70%. É o achado mais acionável das duas rodadas e o de menor custo: não depende de investimento, depende de presença.</w:t>
      </w:r>
    </w:p>
    <w:p>
      <w:pPr>
        <w:pBdr>
          <w:left w:val="single" w:color="1C5CAB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1C5CAB"/>
          <w:sz w:val="21"/>
          <w:szCs w:val="21"/>
        </w:rPr>
        <w:t xml:space="preserve">3. A decisão de sair acontece na primeira semana</w:t>
      </w:r>
    </w:p>
    <w:p>
      <w:pPr>
        <w:pBdr>
          <w:left w:val="single" w:color="1C5CAB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Das 10 saídas que responderam o questionário próprio, 8 foram decididas nos primeiros dias ou na primeira semana. A janela de intervenção é curtíssima — e hoje não existe nenhuma ação programada dentro dela.</w:t>
      </w:r>
    </w:p>
    <w:p>
      <w:pPr>
        <w:pBdr>
          <w:left w:val="single" w:color="0C7A3E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0C7A3E"/>
          <w:sz w:val="21"/>
          <w:szCs w:val="21"/>
        </w:rPr>
        <w:t xml:space="preserve">4. A hipótese do salário caiu</w:t>
      </w:r>
    </w:p>
    <w:p>
      <w:pPr>
        <w:pBdr>
          <w:left w:val="single" w:color="0C7A3E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91,1% disseram que o valor recebido atendeu ou superou o que esperavam ao aceitar a vaga. Apenas 2,5% consideram o pagamento pior que o de outros temporários da região, contra 45,6% que o consideram melhor. A nota média foi 8,09 e o índice de recomendação do salário, 30,4, é o mais baixo dos três medidos — mas mede exigência, não revolta.</w:t>
      </w:r>
    </w:p>
    <w:p>
      <w:pPr>
        <w:pBdr>
          <w:left w:val="single" w:color="1C5CAB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1C5CAB"/>
          <w:sz w:val="21"/>
          <w:szCs w:val="21"/>
        </w:rPr>
        <w:t xml:space="preserve">5. O que se pede não é só diária maior</w:t>
      </w:r>
    </w:p>
    <w:p>
      <w:pPr>
        <w:pBdr>
          <w:left w:val="single" w:color="1C5CAB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54,4% querem aumento no valor da diária, mas 39,2% aceitariam bônus por não faltar e 39,2% bônus por ficar até o fim da temporada. Os dois últimos custam menos que um reajuste linear, são condicionados a resultado e atacam exatamente os dois problemas da rodada 1.</w:t>
      </w:r>
    </w:p>
    <w:p>
      <w:pPr>
        <w:pBdr>
          <w:left w:val="single" w:color="A32020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A32020"/>
          <w:sz w:val="21"/>
          <w:szCs w:val="21"/>
        </w:rPr>
        <w:t xml:space="preserve">6. O respeito é o achado mais desconfortável</w:t>
      </w:r>
    </w:p>
    <w:p>
      <w:pPr>
        <w:pBdr>
          <w:left w:val="single" w:color="A3202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Apenas 57,0% se sentiram sempre respeitados no ambiente de trabalho. 31,6% responderam "na maior parte do tempo" e 11,4% responderam "poucas vezes". Quem marcou "poucas vezes" avalia pior tudo — inclusive o salário, que é o mesmo valor pago aos colegas de função.</w:t>
      </w:r>
    </w:p>
    <w:p>
      <w:pPr>
        <w:pBdr>
          <w:left w:val="single" w:color="1C5CAB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1C5CAB"/>
          <w:sz w:val="21"/>
          <w:szCs w:val="21"/>
        </w:rPr>
        <w:t xml:space="preserve">7. A demanda por efetivação é quase unânime</w:t>
      </w:r>
    </w:p>
    <w:p>
      <w:pPr>
        <w:pBdr>
          <w:left w:val="single" w:color="1C5CAB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81,0% querem ser efetivados como CLT na Aviva com certeza e 96,2% querem ou considerariam. Apenas 3,8% descartam. Para a maioria dessas pessoas o contrato temporário não é um bico de temporada — é uma porta de entrada, e hoje não existe trilha formal atrás dela.</w:t>
      </w:r>
    </w:p>
    <w:p>
      <w:r>
        <w:br w:type="page"/>
      </w:r>
    </w:p>
    <w:p>
      <w:pPr>
        <w:pStyle w:val="Heading1"/>
        <w:spacing w:after="170" w:before="340"/>
      </w:pPr>
      <w:r>
        <w:t xml:space="preserve">2. Método e participação</w:t>
      </w:r>
    </w:p>
    <w:p>
      <w:pPr>
        <w:pStyle w:val="Heading2"/>
        <w:spacing w:after="120" w:before="280"/>
      </w:pPr>
      <w:r>
        <w:t xml:space="preserve">2.1 As duas rodadas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1700"/>
        <w:gridCol w:w="4060"/>
        <w:gridCol w:w="1200"/>
        <w:gridCol w:w="1200"/>
        <w:gridCol w:w="1200"/>
      </w:tblGrid>
      <w:tr>
        <w:trPr>
          <w:tblHeader/>
        </w:trPr>
        <w:tc>
          <w:tcPr>
            <w:tcW w:type="dxa" w:w="17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Rodada</w:t>
            </w:r>
          </w:p>
        </w:tc>
        <w:tc>
          <w:tcPr>
            <w:tcW w:type="dxa" w:w="40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Objeto</w:t>
            </w:r>
          </w:p>
        </w:tc>
        <w:tc>
          <w:tcPr>
            <w:tcW w:type="dxa" w:w="12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Convites</w:t>
            </w:r>
          </w:p>
        </w:tc>
        <w:tc>
          <w:tcPr>
            <w:tcW w:type="dxa" w:w="12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12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Taxa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 · experiência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Experiência da temporada, faltas, saída, vínculo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178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120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67,4%</w:t>
            </w:r>
          </w:p>
        </w:tc>
      </w:tr>
      <w:tr>
        <w:tc>
          <w:tcPr>
            <w:tcW w:type="dxa" w:w="1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 · salário</w:t>
            </w:r>
          </w:p>
        </w:tc>
        <w:tc>
          <w:tcPr>
            <w:tcW w:type="dxa" w:w="40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Salário, condições de trabalho, respeito, efetivação</w:t>
            </w:r>
          </w:p>
        </w:tc>
        <w:tc>
          <w:tcPr>
            <w:tcW w:type="dxa" w:w="1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120</w:t>
            </w:r>
          </w:p>
        </w:tc>
        <w:tc>
          <w:tcPr>
            <w:tcW w:type="dxa" w:w="1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79</w:t>
            </w:r>
          </w:p>
        </w:tc>
        <w:tc>
          <w:tcPr>
            <w:tcW w:type="dxa" w:w="1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65,8%</w:t>
            </w:r>
          </w:p>
        </w:tc>
      </w:tr>
    </w:tbl>
    <w:p>
      <w:pPr>
        <w:spacing w:after="200" w:before="60" w:line="26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A rodada 2 foi disparada apenas para quem respondeu a rodada 1 — por isso os dois públicos se sobrepõem e não são amostras independentes.</w:t>
      </w:r>
    </w:p>
    <w:p>
      <w:pPr>
        <w:pStyle w:val="Heading2"/>
        <w:spacing w:after="120" w:before="280"/>
      </w:pPr>
      <w:r>
        <w:t xml:space="preserve">2.2 Como foi aplicada</w:t>
      </w:r>
    </w:p>
    <w:p>
      <w:pPr>
        <w:spacing w:after="13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A rodada 1 usou dois questionários: um longo, para quem cumpriu a temporada (110 respostas), e um curto, de saída (10 respostas). Ambos anônimos, disparados por WhatsApp, um a um. O incentivo foi um par de ingressos do Hot Park garantido a quem concluísse — não sorteio.</w:t>
      </w:r>
    </w:p>
    <w:p>
      <w:pPr>
        <w:spacing w:after="13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A rodada 2 usou um questionário único, também anônimo, com sorteio de 10 prêmios de R$ 70 via PIX como incentivo, pagos no dia de uso do ingresso. Em ambas as rodadas o cadastro de contato ficou em um formulário separado, com planilha separada: as respostas não são ligáveis a quem respondeu.</w:t>
      </w:r>
    </w:p>
    <w:p>
      <w:pPr>
        <w:pBdr>
          <w:left w:val="single" w:color="1C5CAB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1C5CAB"/>
          <w:sz w:val="21"/>
          <w:szCs w:val="21"/>
        </w:rPr>
        <w:t xml:space="preserve">O anonimato é o que explica os números</w:t>
      </w:r>
    </w:p>
    <w:p>
      <w:pPr>
        <w:pBdr>
          <w:left w:val="single" w:color="1C5CAB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O formato anterior de pesquisa da operação coletava telefone na mesma planilha das respostas. Nele, ninguém escreve que se sentiu desrespeitado. As duas rodadas deste ciclo separaram o cadastro da resposta — e foi por isso que apareceram os relatos que estão na seção 9 e no anexo interno.</w:t>
      </w:r>
    </w:p>
    <w:p>
      <w:pPr>
        <w:pStyle w:val="Heading2"/>
        <w:spacing w:after="120" w:before="280"/>
      </w:pPr>
      <w:r>
        <w:t xml:space="preserve">2.3 Regra de classificação dos grupos</w:t>
      </w:r>
    </w:p>
    <w:p>
      <w:pPr>
        <w:spacing w:after="130" w:line="28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O grupo não vem da lista de disparo, vem da declaração do respondente.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8 pessoas receberam o questionário de quem cumpriu a temporada e informaram, na pergunta de triagem, que saíram antes do fim. Elas contam no grupo de saída. Resultado: 102 cumpriram e 18 saíram antes — e não 110 e 10, como diria a lista de envio.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2700"/>
        <w:gridCol w:w="1500"/>
        <w:gridCol w:w="1600"/>
        <w:gridCol w:w="1400"/>
        <w:gridCol w:w="2160"/>
      </w:tblGrid>
      <w:tr>
        <w:trPr>
          <w:tblHeader/>
        </w:trPr>
        <w:tc>
          <w:tcPr>
            <w:tcW w:type="dxa" w:w="27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Convites</w:t>
            </w:r>
          </w:p>
        </w:tc>
        <w:tc>
          <w:tcPr>
            <w:tcW w:type="dxa" w:w="16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14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Taxa</w:t>
            </w:r>
          </w:p>
        </w:tc>
        <w:tc>
          <w:tcPr>
            <w:tcW w:type="dxa" w:w="21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Após reclassificação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Cumpriu a temporada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150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110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73,3%</w:t>
            </w:r>
          </w:p>
        </w:tc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102</w:t>
            </w:r>
          </w:p>
        </w:tc>
      </w:tr>
      <w:tr>
        <w:tc>
          <w:tcPr>
            <w:tcW w:type="dxa" w:w="2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Saiu antes do fim</w:t>
            </w:r>
          </w:p>
        </w:tc>
        <w:tc>
          <w:tcPr>
            <w:tcW w:type="dxa" w:w="15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28</w:t>
            </w:r>
          </w:p>
        </w:tc>
        <w:tc>
          <w:tcPr>
            <w:tcW w:type="dxa" w:w="16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35,7%</w:t>
            </w:r>
          </w:p>
        </w:tc>
        <w:tc>
          <w:tcPr>
            <w:tcW w:type="dxa" w:w="21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178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120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67,4%</w:t>
            </w:r>
          </w:p>
        </w:tc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120</w:t>
            </w:r>
          </w:p>
        </w:tc>
      </w:tr>
    </w:tbl>
    <w:p>
      <w:r>
        <w:br w:type="page"/>
      </w:r>
    </w:p>
    <w:p>
      <w:pPr>
        <w:pStyle w:val="Heading1"/>
        <w:spacing w:after="170" w:before="340"/>
      </w:pPr>
      <w:r>
        <w:t xml:space="preserve">3. Quem respondeu</w:t>
      </w:r>
    </w:p>
    <w:p>
      <w:pPr>
        <w:spacing w:after="13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Perfil da rodada 1, que tem a base maior. A rodada 2 tem distribuição equivalente por função, já que foi disparada para o mesmo público.</w:t>
      </w:r>
    </w:p>
    <w:p>
      <w:pPr>
        <w:pStyle w:val="Heading2"/>
        <w:spacing w:after="120" w:before="280"/>
      </w:pPr>
      <w:r>
        <w:t xml:space="preserve">3.1 Por função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Garçom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35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29,2%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Atendente de Parque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13,3%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Outra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9,2%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Auxiliar de Serviços Gerais / Limpeza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9,2%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Recepcionista de Parques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7,5%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Atendente de Hotelaria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6,7%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Camareira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6,7%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Auxiliar de Cozinha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4,2%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Roupeiro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3,3%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Auxiliar de Lavanderia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3,3%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Monitor de Lazer e Recreação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2,5%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Vendedor Interno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2,5%</w:t>
            </w:r>
          </w:p>
        </w:tc>
      </w:tr>
    </w:tbl>
    <w:p>
      <w:pPr>
        <w:pStyle w:val="Heading2"/>
        <w:spacing w:after="120" w:before="280"/>
      </w:pPr>
      <w:r>
        <w:t xml:space="preserve">3.2 Por local de trabalho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Local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Hot Park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26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21,7%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Pier Point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22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18,3%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Bares e restaurantes Praia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17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14,2%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Hotéis/Incasa (governança / camararia)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13,3%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Recepção Parque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10,0%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Outro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8,3%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Lavanderia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4,2%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Parque das Fontes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4,2%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Loja / vendas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3,3%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portaria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2,5%</w:t>
            </w:r>
          </w:p>
        </w:tc>
      </w:tr>
    </w:tbl>
    <w:p>
      <w:pPr>
        <w:pStyle w:val="Heading2"/>
        <w:spacing w:after="120" w:before="280"/>
      </w:pPr>
      <w:r>
        <w:t xml:space="preserve">3.3 Moradia e transporte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Onde mora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Moro em Rio Quente, Caldas Novas ou Morrinhos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107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89,2%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Venho de outra cidade todo dia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10,8%</w:t>
            </w:r>
          </w:p>
        </w:tc>
      </w:tr>
    </w:tbl>
    <w:p>
      <w:pPr>
        <w:spacing w:after="10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/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Como ia e voltava do trabalho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Transporte fretado da empresa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108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90,0%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Por conta própria (moto ou carro)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4,2%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Transporte público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3,3%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 pé ou de bicicleta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2,5%</w:t>
            </w:r>
          </w:p>
        </w:tc>
      </w:tr>
    </w:tbl>
    <w:p>
      <w:pPr>
        <w:pBdr>
          <w:left w:val="single" w:color="8A5A00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Dois números que explicam boa parte do resto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89,2% moram na região e 90,0% dependem exclusivamente do transporte fretado. Isso significa que uma falha de rota, horário ou capacidade do fretado não tem plano B: vira falta. E de fato transporte aparece entre as três maiores causas de ausência.</w:t>
      </w:r>
    </w:p>
    <w:p>
      <w:r>
        <w:br w:type="page"/>
      </w:r>
    </w:p>
    <w:p>
      <w:pPr>
        <w:pStyle w:val="Heading1"/>
        <w:spacing w:after="170" w:before="340"/>
      </w:pPr>
      <w:r>
        <w:t xml:space="preserve">4. Vínculo com a Mendes RH</w:t>
      </w:r>
    </w:p>
    <w:p>
      <w:pPr>
        <w:pStyle w:val="Heading2"/>
        <w:spacing w:after="120" w:before="280"/>
      </w:pPr>
      <w:r>
        <w:t xml:space="preserve">4.1 Índice de recomendação</w:t>
      </w:r>
    </w:p>
    <w:p>
      <w:pPr>
        <w:spacing w:after="13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Nota de 0 a 10 dada à pergunta “o quanto você indicaria a Mendes RH para um amigo trabalhar?”. Quem dá 9 ou 10 recomenda; 7 e 8 são indiferentes e ficam fora da conta; 0 a 6 não recomenda. O índice é a diferença entre o percentual do primeiro grupo e o do último, numa escala de −100 a +100. Acima de 50 é excelente em qualquer referência de mercado.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2300"/>
        <w:gridCol w:w="700"/>
        <w:gridCol w:w="1300"/>
        <w:gridCol w:w="1300"/>
        <w:gridCol w:w="1560"/>
        <w:gridCol w:w="1100"/>
        <w:gridCol w:w="1100"/>
      </w:tblGrid>
      <w:tr>
        <w:trPr>
          <w:tblHeader/>
        </w:trPr>
        <w:tc>
          <w:tcPr>
            <w:tcW w:type="dxa" w:w="23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7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3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Recomendam</w:t>
            </w:r>
          </w:p>
        </w:tc>
        <w:tc>
          <w:tcPr>
            <w:tcW w:type="dxa" w:w="13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Indiferentes</w:t>
            </w:r>
          </w:p>
        </w:tc>
        <w:tc>
          <w:tcPr>
            <w:tcW w:type="dxa" w:w="15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Não recomendam</w:t>
            </w:r>
          </w:p>
        </w:tc>
        <w:tc>
          <w:tcPr>
            <w:tcW w:type="dxa" w:w="11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11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 média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Total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120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86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28</w:t>
            </w:r>
          </w:p>
        </w:tc>
        <w:tc>
          <w:tcPr>
            <w:tcW w:type="dxa" w:w="1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66,7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9,07</w:t>
            </w:r>
          </w:p>
        </w:tc>
      </w:tr>
      <w:tr>
        <w:tc>
          <w:tcPr>
            <w:tcW w:type="dxa" w:w="2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Cumpriu a temporada</w:t>
            </w:r>
          </w:p>
        </w:tc>
        <w:tc>
          <w:tcPr>
            <w:tcW w:type="dxa" w:w="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102</w:t>
            </w:r>
          </w:p>
        </w:tc>
        <w:tc>
          <w:tcPr>
            <w:tcW w:type="dxa" w:w="1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74</w:t>
            </w:r>
          </w:p>
        </w:tc>
        <w:tc>
          <w:tcPr>
            <w:tcW w:type="dxa" w:w="1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23</w:t>
            </w:r>
          </w:p>
        </w:tc>
        <w:tc>
          <w:tcPr>
            <w:tcW w:type="dxa" w:w="15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67,6</w:t>
            </w:r>
          </w:p>
        </w:tc>
        <w:tc>
          <w:tcPr>
            <w:tcW w:type="dxa" w:w="11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9,11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Saiu antes do fim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18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61,1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8,89</w:t>
            </w:r>
          </w:p>
        </w:tc>
      </w:tr>
    </w:tbl>
    <w:p>
      <w:pPr>
        <w:pBdr>
          <w:left w:val="single" w:color="0C7A3E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0C7A3E"/>
          <w:sz w:val="21"/>
          <w:szCs w:val="21"/>
        </w:rPr>
        <w:t xml:space="preserve">A saída antecipada custa pouco em reputação</w:t>
      </w:r>
    </w:p>
    <w:p>
      <w:pPr>
        <w:pBdr>
          <w:left w:val="single" w:color="0C7A3E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A diferença entre quem cumpriu (67,6) e quem saiu antes (61,1) é de 6,5 pontos. É pequena: mesmo quem interrompeu o contrato segue recontratável e segue recomendando a empresa. O vínculo não se rompeu na saída.</w:t>
      </w:r>
    </w:p>
    <w:p>
      <w:pPr>
        <w:pStyle w:val="Heading2"/>
        <w:spacing w:after="120" w:before="280"/>
      </w:pPr>
      <w:r>
        <w:t xml:space="preserve">4.2 Índice por função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2700"/>
        <w:gridCol w:w="600"/>
        <w:gridCol w:w="1000"/>
        <w:gridCol w:w="1200"/>
        <w:gridCol w:w="1000"/>
        <w:gridCol w:w="1500"/>
        <w:gridCol w:w="1360"/>
      </w:tblGrid>
      <w:tr>
        <w:trPr>
          <w:tblHeader/>
        </w:trPr>
        <w:tc>
          <w:tcPr>
            <w:tcW w:type="dxa" w:w="27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6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12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 média</w:t>
            </w:r>
          </w:p>
        </w:tc>
        <w:tc>
          <w:tcPr>
            <w:tcW w:type="dxa" w:w="1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Faltou</w:t>
            </w:r>
          </w:p>
        </w:tc>
        <w:tc>
          <w:tcPr>
            <w:tcW w:type="dxa" w:w="15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Pensou em sair</w:t>
            </w:r>
          </w:p>
        </w:tc>
        <w:tc>
          <w:tcPr>
            <w:tcW w:type="dxa" w:w="1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Voltaria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Garçom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35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77,1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9,40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51%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32%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77%</w:t>
            </w:r>
          </w:p>
        </w:tc>
      </w:tr>
      <w:tr>
        <w:tc>
          <w:tcPr>
            <w:tcW w:type="dxa" w:w="2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Atendente de Parque</w:t>
            </w:r>
          </w:p>
        </w:tc>
        <w:tc>
          <w:tcPr>
            <w:tcW w:type="dxa" w:w="6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16</w:t>
            </w:r>
          </w:p>
        </w:tc>
        <w:tc>
          <w:tcPr>
            <w:tcW w:type="dxa" w:w="1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75,0</w:t>
            </w:r>
          </w:p>
        </w:tc>
        <w:tc>
          <w:tcPr>
            <w:tcW w:type="dxa" w:w="1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9,44</w:t>
            </w:r>
          </w:p>
        </w:tc>
        <w:tc>
          <w:tcPr>
            <w:tcW w:type="dxa" w:w="1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50%</w:t>
            </w:r>
          </w:p>
        </w:tc>
        <w:tc>
          <w:tcPr>
            <w:tcW w:type="dxa" w:w="15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38%</w:t>
            </w:r>
          </w:p>
        </w:tc>
        <w:tc>
          <w:tcPr>
            <w:tcW w:type="dxa" w:w="1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75%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Auxiliar de Serviços Gerais / Limpeza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11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63,6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9,00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55%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12%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73%</w:t>
            </w:r>
          </w:p>
        </w:tc>
      </w:tr>
      <w:tr>
        <w:tc>
          <w:tcPr>
            <w:tcW w:type="dxa" w:w="2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Outra</w:t>
            </w:r>
          </w:p>
        </w:tc>
        <w:tc>
          <w:tcPr>
            <w:tcW w:type="dxa" w:w="6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11</w:t>
            </w:r>
          </w:p>
        </w:tc>
        <w:tc>
          <w:tcPr>
            <w:tcW w:type="dxa" w:w="1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45,5</w:t>
            </w:r>
          </w:p>
        </w:tc>
        <w:tc>
          <w:tcPr>
            <w:tcW w:type="dxa" w:w="1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8,82</w:t>
            </w:r>
          </w:p>
        </w:tc>
        <w:tc>
          <w:tcPr>
            <w:tcW w:type="dxa" w:w="1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45%</w:t>
            </w:r>
          </w:p>
        </w:tc>
        <w:tc>
          <w:tcPr>
            <w:tcW w:type="dxa" w:w="15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27%</w:t>
            </w:r>
          </w:p>
        </w:tc>
        <w:tc>
          <w:tcPr>
            <w:tcW w:type="dxa" w:w="1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91%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Recepcionista de Parques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77,8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9,44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44%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22%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Atendente de Hotelaria</w:t>
            </w:r>
          </w:p>
        </w:tc>
        <w:tc>
          <w:tcPr>
            <w:tcW w:type="dxa" w:w="6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62,5</w:t>
            </w:r>
          </w:p>
        </w:tc>
        <w:tc>
          <w:tcPr>
            <w:tcW w:type="dxa" w:w="1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8,75</w:t>
            </w:r>
          </w:p>
        </w:tc>
        <w:tc>
          <w:tcPr>
            <w:tcW w:type="dxa" w:w="1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25%</w:t>
            </w:r>
          </w:p>
        </w:tc>
        <w:tc>
          <w:tcPr>
            <w:tcW w:type="dxa" w:w="15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12%</w:t>
            </w:r>
          </w:p>
        </w:tc>
        <w:tc>
          <w:tcPr>
            <w:tcW w:type="dxa" w:w="1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75%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Camareira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37,5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8,25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62%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38%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88%</w:t>
            </w:r>
          </w:p>
        </w:tc>
      </w:tr>
      <w:tr>
        <w:tc>
          <w:tcPr>
            <w:tcW w:type="dxa" w:w="2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Auxiliar de Cozinha</w:t>
            </w:r>
          </w:p>
        </w:tc>
        <w:tc>
          <w:tcPr>
            <w:tcW w:type="dxa" w:w="6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60,0</w:t>
            </w:r>
          </w:p>
        </w:tc>
        <w:tc>
          <w:tcPr>
            <w:tcW w:type="dxa" w:w="1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9,00</w:t>
            </w:r>
          </w:p>
        </w:tc>
        <w:tc>
          <w:tcPr>
            <w:tcW w:type="dxa" w:w="1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40%</w:t>
            </w:r>
          </w:p>
        </w:tc>
        <w:tc>
          <w:tcPr>
            <w:tcW w:type="dxa" w:w="15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20%</w:t>
            </w:r>
          </w:p>
        </w:tc>
        <w:tc>
          <w:tcPr>
            <w:tcW w:type="dxa" w:w="1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80%</w:t>
            </w:r>
          </w:p>
        </w:tc>
      </w:tr>
    </w:tbl>
    <w:p>
      <w:pPr>
        <w:spacing w:after="200" w:before="60" w:line="26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Apenas funções com 5 ou mais respostas. Abaixo disso o recorte identifica quem respondeu e o anonimato prometido no formulário cai. A coluna "pensou em sair" só existe no questionário longo, então o denominador dela é menor nas funções com muita saída antecipada.</w:t>
      </w:r>
    </w:p>
    <w:p>
      <w:pPr>
        <w:pStyle w:val="Heading2"/>
        <w:spacing w:after="120" w:before="280"/>
      </w:pPr>
      <w:r>
        <w:t xml:space="preserve">4.3 Intenção de retorno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Voltaria a trabalhar na próxima temporada?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Sim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96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80,0%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Talvez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20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16,7%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Não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3,3%</w:t>
            </w:r>
          </w:p>
        </w:tc>
      </w:tr>
    </w:tbl>
    <w:p>
      <w:pPr>
        <w:spacing w:after="10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/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 abrisse uma vaga fixa hoje, você aceitaria?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Sim, na hora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86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78,2%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Sim, se melhorasse alguma coisa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10,9%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Não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10,9%</w:t>
            </w:r>
          </w:p>
        </w:tc>
      </w:tr>
    </w:tbl>
    <w:p>
      <w:pPr>
        <w:spacing w:after="10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/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Você acredita que teve chance real de efetivação?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Sim, dependia de mim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87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79,1%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Tive dúvidas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12,7%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Não tinha interesse em ser efetivado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5,5%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Não acreditei nessa possibilidade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2,7%</w:t>
            </w:r>
          </w:p>
        </w:tc>
      </w:tr>
    </w:tbl>
    <w:p>
      <w:pPr>
        <w:pStyle w:val="Heading2"/>
        <w:spacing w:after="120" w:before="280"/>
      </w:pPr>
      <w:r>
        <w:t xml:space="preserve">4.4 Experiência com a equipe da Mendes RH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6200"/>
        <w:gridCol w:w="1580"/>
        <w:gridCol w:w="1580"/>
      </w:tblGrid>
      <w:tr>
        <w:trPr>
          <w:tblHeader/>
        </w:trPr>
        <w:tc>
          <w:tcPr>
            <w:tcW w:type="dxa" w:w="62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 entrevista até o fim do contrato</w:t>
            </w:r>
          </w:p>
        </w:tc>
        <w:tc>
          <w:tcPr>
            <w:tcW w:type="dxa" w:w="158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158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Ótima — fui bem recebido, as informações foram claras e tive apoio</w:t>
            </w:r>
          </w:p>
        </w:tc>
        <w:tc>
          <w:tcPr>
            <w:tcW w:type="dxa" w:w="15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95</w:t>
            </w:r>
          </w:p>
        </w:tc>
        <w:tc>
          <w:tcPr>
            <w:tcW w:type="dxa" w:w="15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86,4%</w:t>
            </w:r>
          </w:p>
        </w:tc>
      </w:tr>
      <w:tr>
        <w:tc>
          <w:tcPr>
            <w:tcW w:type="dxa" w:w="6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Boa, mas distante — o processo foi correto, mas depois da contratação me senti sozinho</w:t>
            </w:r>
          </w:p>
        </w:tc>
        <w:tc>
          <w:tcPr>
            <w:tcW w:type="dxa" w:w="158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11</w:t>
            </w:r>
          </w:p>
        </w:tc>
        <w:tc>
          <w:tcPr>
            <w:tcW w:type="dxa" w:w="158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10,0%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Confusa — as informações mudavam ou não batiam com o combinado</w:t>
            </w:r>
          </w:p>
        </w:tc>
        <w:tc>
          <w:tcPr>
            <w:tcW w:type="dxa" w:w="15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15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2,7%</w:t>
            </w:r>
          </w:p>
        </w:tc>
      </w:tr>
      <w:tr>
        <w:tc>
          <w:tcPr>
            <w:tcW w:type="dxa" w:w="6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Ruim — me senti largado no posto de trabalho</w:t>
            </w:r>
          </w:p>
        </w:tc>
        <w:tc>
          <w:tcPr>
            <w:tcW w:type="dxa" w:w="158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158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0,9%</w:t>
            </w:r>
          </w:p>
        </w:tc>
      </w:tr>
    </w:tbl>
    <w:p>
      <w:r>
        <w:br w:type="page"/>
      </w:r>
    </w:p>
    <w:p>
      <w:pPr>
        <w:pStyle w:val="Heading1"/>
        <w:spacing w:after="170" w:before="340"/>
      </w:pPr>
      <w:r>
        <w:t xml:space="preserve">5. Absenteísmo</w:t>
      </w:r>
    </w:p>
    <w:p>
      <w:pPr>
        <w:pStyle w:val="Heading2"/>
        <w:spacing w:after="120" w:before="280"/>
      </w:pPr>
      <w:r>
        <w:t xml:space="preserve">5.1 Quanto se faltou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Durante a temporada, você chegou a faltar?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Não faltei nenhum dia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63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52,5%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Faltei 1 dia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27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22,5%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Faltei 2 ou 3 dias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19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15,8%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Faltei mais de 3 dias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6,7%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Prefiro não dizer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2,5%</w:t>
            </w:r>
          </w:p>
        </w:tc>
      </w:tr>
    </w:tbl>
    <w:p>
      <w:pPr>
        <w:spacing w:after="130" w:line="28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Taxa de ausência: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43,1% entre quem cumpriu a temporada e 55,6% entre quem saiu antes do fim.</w:t>
      </w:r>
    </w:p>
    <w:p>
      <w:pPr>
        <w:pStyle w:val="Heading2"/>
        <w:spacing w:after="120" w:before="280"/>
      </w:pPr>
      <w:r>
        <w:t xml:space="preserve">5.2 Por que se falta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Citações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de quem faltou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Problema de saúde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26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48,1%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Cansaço físico acumulado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29,6%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Transporte — não consegui chegar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29,6%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Problema em casa ou com filhos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18,5%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Não sei dizer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14,8%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Escala em domingo ou feriado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5,6%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Desânimo com o trabalho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5,6%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Trabalho pesado demais para o valor pago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5,6%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Outro trabalho ou bico no mesmo dia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5,6%</w:t>
            </w:r>
          </w:p>
        </w:tc>
      </w:tr>
    </w:tbl>
    <w:p>
      <w:pPr>
        <w:spacing w:after="200" w:before="60" w:line="26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Base: as 54 pessoas que declararam ao menos uma ausência. Cada uma podia marcar até 3 causas, então a soma passa de 100%. Total de 88 citações.</w:t>
      </w:r>
    </w:p>
    <w:p>
      <w:pPr>
        <w:pBdr>
          <w:left w:val="single" w:color="8A5A00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Saúde, cansaço e transporte concentram a explicação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As três causas mais citadas somam 66% das citações. Desânimo, bico no mesmo dia e trabalho pesado demais para o valor pago — as três que a operação costuma presumir — ficam no rodapé, com 10,2% somadas. Transporte é a única causa relevante que Mendes RH e Aviva controlam sozinhas: rota, horário, capacidade e estado dos veículos.</w:t>
      </w:r>
    </w:p>
    <w:p>
      <w:pPr>
        <w:pStyle w:val="Heading2"/>
        <w:spacing w:after="120" w:before="280"/>
      </w:pPr>
      <w:r>
        <w:t xml:space="preserve">5.3 O que pesou no dia a dia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mais pesou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Citações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dos respondentes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Nada pesou de forma relevante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43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39,8%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Ficar muito tempo em pé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33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30,6%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Calor e sol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32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29,6%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Ritmo e volume de trabalho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17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15,7%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Escala (dias e horários)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12,0%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Poucas folgas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10,2%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Tratamento de colegas ou da liderança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7,4%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Alimentação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5,6%</w:t>
            </w:r>
          </w:p>
        </w:tc>
      </w:tr>
    </w:tbl>
    <w:p>
      <w:pPr>
        <w:pStyle w:val="Heading2"/>
        <w:spacing w:after="120" w:before="280"/>
      </w:pPr>
      <w:r>
        <w:t xml:space="preserve">5.4 O que teria reduzido as faltas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Alavanca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Citações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Outro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46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46,5%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Mais folgas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31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31,3%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Pagamento maior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18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18,2%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Bônus por assiduidade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15,2%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Escala mais previsível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12,1%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Reconhecimento da liderança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7,1%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Alimentação melhor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6,1%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Transporte garantido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6,1%</w:t>
            </w:r>
          </w:p>
        </w:tc>
      </w:tr>
    </w:tbl>
    <w:p>
      <w:pPr>
        <w:pBdr>
          <w:left w:val="single" w:color="1C5CAB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1C5CAB"/>
          <w:sz w:val="21"/>
          <w:szCs w:val="21"/>
        </w:rPr>
        <w:t xml:space="preserve">A opção mais marcada foi “Outro” — e isso é informação</w:t>
      </w:r>
    </w:p>
    <w:p>
      <w:pPr>
        <w:pBdr>
          <w:left w:val="single" w:color="1C5CAB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46,5% marcaram "Outro", acima de qualquer alavanca oferecida. A lista de opções partia do pressuposto de que a falta é negociável — mais folga, mais dinheiro, melhor escala. Para a maior parte dessas pessoas nenhuma delas se aplicava, o que é coerente com a causa declarada: quem falta por doença ou por não conseguir chegar não é retido por bônus. Na próxima rodada vale trocar essa pergunta por uma aberta.</w:t>
      </w:r>
    </w:p>
    <w:p>
      <w:r>
        <w:br w:type="page"/>
      </w:r>
    </w:p>
    <w:p>
      <w:pPr>
        <w:pStyle w:val="Heading1"/>
        <w:spacing w:after="170" w:before="340"/>
      </w:pPr>
      <w:r>
        <w:t xml:space="preserve">6. O que separa quem falta de quem não falta</w:t>
      </w:r>
    </w:p>
    <w:p>
      <w:pPr>
        <w:spacing w:after="13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Os cruzamentos abaixo não descrevem opinião: separam grupos com comportamento medido diferente. São a parte mais acionável da rodada 1.</w:t>
      </w:r>
    </w:p>
    <w:p>
      <w:pPr>
        <w:pStyle w:val="Heading2"/>
        <w:spacing w:after="120" w:before="280"/>
      </w:pPr>
      <w:r>
        <w:t xml:space="preserve">6.1 Voz — o preditor mais forte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1400"/>
        <w:gridCol w:w="26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“Você se sentiu à vontade para falar quando algo estava errado?”</w:t>
            </w:r>
          </w:p>
        </w:tc>
        <w:tc>
          <w:tcPr>
            <w:tcW w:type="dxa" w:w="14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Faltou ao menos 1 dia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Sim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75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36%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Mais ou menos</w:t>
            </w:r>
          </w:p>
        </w:tc>
        <w:tc>
          <w:tcPr>
            <w:tcW w:type="dxa" w:w="14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25</w:t>
            </w:r>
          </w:p>
        </w:tc>
        <w:tc>
          <w:tcPr>
            <w:tcW w:type="dxa" w:w="26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64%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Não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70%</w:t>
            </w:r>
          </w:p>
        </w:tc>
      </w:tr>
    </w:tbl>
    <w:p>
      <w:pPr>
        <w:spacing w:after="10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/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1400"/>
        <w:gridCol w:w="26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Mesmo corte, outra medida</w:t>
            </w:r>
          </w:p>
        </w:tc>
        <w:tc>
          <w:tcPr>
            <w:tcW w:type="dxa" w:w="14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Pensou em sair antes do fim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Sim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75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16%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Mais ou menos</w:t>
            </w:r>
          </w:p>
        </w:tc>
        <w:tc>
          <w:tcPr>
            <w:tcW w:type="dxa" w:w="14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25</w:t>
            </w:r>
          </w:p>
        </w:tc>
        <w:tc>
          <w:tcPr>
            <w:tcW w:type="dxa" w:w="26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60%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Não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40%</w:t>
            </w:r>
          </w:p>
        </w:tc>
      </w:tr>
    </w:tbl>
    <w:p>
      <w:pPr>
        <w:pBdr>
          <w:left w:val="single" w:color="0C7A3E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0C7A3E"/>
          <w:sz w:val="21"/>
          <w:szCs w:val="21"/>
        </w:rPr>
        <w:t xml:space="preserve">Não é um problema que se resolva com investimento</w:t>
      </w:r>
    </w:p>
    <w:p>
      <w:pPr>
        <w:pBdr>
          <w:left w:val="single" w:color="0C7A3E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Quem não se sentiu à vontade para falar faltou 70%, contra 36% de quem se sentiu. Resolve-se com presença: alguém disponível no posto, nos primeiros dias, com registro do que foi dito. Custo zero.</w:t>
      </w:r>
    </w:p>
    <w:p>
      <w:pPr>
        <w:pStyle w:val="Heading2"/>
        <w:spacing w:after="120" w:before="280"/>
      </w:pPr>
      <w:r>
        <w:t xml:space="preserve">6.2 Erro de pagamento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1400"/>
        <w:gridCol w:w="26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“Você recebeu tudo certo e no prazo?”</w:t>
            </w:r>
          </w:p>
        </w:tc>
        <w:tc>
          <w:tcPr>
            <w:tcW w:type="dxa" w:w="14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Faltou ao menos 1 dia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Sim, sempre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76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38%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Teve atraso ou erro uma vez</w:t>
            </w:r>
          </w:p>
        </w:tc>
        <w:tc>
          <w:tcPr>
            <w:tcW w:type="dxa" w:w="14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34</w:t>
            </w:r>
          </w:p>
        </w:tc>
        <w:tc>
          <w:tcPr>
            <w:tcW w:type="dxa" w:w="26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62%</w:t>
            </w:r>
          </w:p>
        </w:tc>
      </w:tr>
    </w:tbl>
    <w:p>
      <w:pPr>
        <w:pBdr>
          <w:left w:val="single" w:color="0C7A3E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0C7A3E"/>
          <w:sz w:val="21"/>
          <w:szCs w:val="21"/>
        </w:rPr>
        <w:t xml:space="preserve">A correção mais barata do relatório</w:t>
      </w:r>
    </w:p>
    <w:p>
      <w:pPr>
        <w:pBdr>
          <w:left w:val="single" w:color="0C7A3E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Ninguém marcou "teve problema mais de uma vez", o que indica falha pontual e não sistêmica. Depende exclusivamente de processo interno, não envolve negociação com o cliente e tem efeito medido sobre a falta.</w:t>
      </w:r>
    </w:p>
    <w:p>
      <w:pPr>
        <w:pStyle w:val="Heading2"/>
        <w:spacing w:after="120" w:before="280"/>
      </w:pPr>
      <w:r>
        <w:t xml:space="preserve">6.3 Entrada e integração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4200"/>
        <w:gridCol w:w="900"/>
        <w:gridCol w:w="1800"/>
        <w:gridCol w:w="1300"/>
        <w:gridCol w:w="1160"/>
      </w:tblGrid>
      <w:tr>
        <w:trPr>
          <w:tblHeader/>
        </w:trPr>
        <w:tc>
          <w:tcPr>
            <w:tcW w:type="dxa" w:w="42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Pergunta</w:t>
            </w:r>
          </w:p>
        </w:tc>
        <w:tc>
          <w:tcPr>
            <w:tcW w:type="dxa" w:w="9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8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 média (1 a 5)</w:t>
            </w:r>
          </w:p>
        </w:tc>
        <w:tc>
          <w:tcPr>
            <w:tcW w:type="dxa" w:w="13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Deram nota 5</w:t>
            </w:r>
          </w:p>
        </w:tc>
        <w:tc>
          <w:tcPr>
            <w:tcW w:type="dxa" w:w="11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Deram 1 ou 2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Recepção no primeiro dia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110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4,61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78,2%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3,6%</w:t>
            </w:r>
          </w:p>
        </w:tc>
      </w:tr>
      <w:tr>
        <w:tc>
          <w:tcPr>
            <w:tcW w:type="dxa" w:w="4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Alimentação durante o trabalho</w:t>
            </w:r>
          </w:p>
        </w:tc>
        <w:tc>
          <w:tcPr>
            <w:tcW w:type="dxa" w:w="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110</w:t>
            </w:r>
          </w:p>
        </w:tc>
        <w:tc>
          <w:tcPr>
            <w:tcW w:type="dxa" w:w="18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4,31</w:t>
            </w:r>
          </w:p>
        </w:tc>
        <w:tc>
          <w:tcPr>
            <w:tcW w:type="dxa" w:w="1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60,9%</w:t>
            </w:r>
          </w:p>
        </w:tc>
        <w:tc>
          <w:tcPr>
            <w:tcW w:type="dxa" w:w="11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5,5%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Tratamento dos efetivos aos temporários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110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4,27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60,9%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7,3%</w:t>
            </w:r>
          </w:p>
        </w:tc>
      </w:tr>
    </w:tbl>
    <w:p>
      <w:pPr>
        <w:pBdr>
          <w:left w:val="single" w:color="8A5A00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O sinal que a rodada 2 foi buscar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"Como os colegas efetivos tratavam os temporários" teve média 4,27, a mais baixa das três escalas, com 6 pessoas dando nota 1 — o único item em que alguém usou o extremo negativo em volume. Era um sinal fraco demais para virar decisão. Foi exatamente por isso que a rodada 2 incluiu a pergunta direta sobre respeito.</w:t>
      </w:r>
    </w:p>
    <w:p>
      <w:pPr>
        <w:spacing w:after="10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/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Ficou claro o que era esperado de você?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Sim, totalmente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86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78,2%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Mais ou menos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17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15,5%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Não — fui aprendendo sozinho na prática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6,4%</w:t>
            </w:r>
          </w:p>
        </w:tc>
      </w:tr>
    </w:tbl>
    <w:p>
      <w:pPr>
        <w:spacing w:after="10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/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Recebeu no primeiro dia tudo o que precisava?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Sim, tudo certo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102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92,7%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Faltou alguma coisa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6,4%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Não, demorou dias para chegar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0,9%</w:t>
            </w:r>
          </w:p>
        </w:tc>
      </w:tr>
    </w:tbl>
    <w:p>
      <w:pPr>
        <w:spacing w:after="10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/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 escala cumprida foi a combinada na contratação?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Sim, foi a mesma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94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85,5%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Mudou um pouco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13,6%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Mudou bastante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0,9%</w:t>
            </w:r>
          </w:p>
        </w:tc>
      </w:tr>
    </w:tbl>
    <w:p>
      <w:r>
        <w:br w:type="page"/>
      </w:r>
    </w:p>
    <w:p>
      <w:pPr>
        <w:pStyle w:val="Heading1"/>
        <w:spacing w:after="170" w:before="340"/>
      </w:pPr>
      <w:r>
        <w:t xml:space="preserve">7. A saída antecipada</w:t>
      </w:r>
    </w:p>
    <w:p>
      <w:pPr>
        <w:spacing w:after="13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18 pessoas saíram antes do fim da temporada, segundo a própria declaração. Destas, 10 responderam o questionário de saída, mais curto e específico. Os números desta seção têm base pequena — são leitura indicativa, não conclusiva.</w:t>
      </w:r>
    </w:p>
    <w:p>
      <w:pPr>
        <w:pStyle w:val="Heading2"/>
        <w:spacing w:after="120" w:before="280"/>
      </w:pPr>
      <w:r>
        <w:t xml:space="preserve">7.1 Quem pensou em sair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 algum momento você pensou em sair antes do fim?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Não, nunca pensei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79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71,8%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Pensei uma vez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17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15,5%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Pensei várias vezes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12,7%</w:t>
            </w:r>
          </w:p>
        </w:tc>
      </w:tr>
    </w:tbl>
    <w:p>
      <w:pPr>
        <w:pStyle w:val="Heading2"/>
        <w:spacing w:after="120" w:before="280"/>
      </w:pPr>
      <w:r>
        <w:t xml:space="preserve">7.2 O que segurou quem ficou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mais te segurou até o fim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Citações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Gostei do trabalho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50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45,9%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Precisava do dinheiro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50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45,9%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Compromisso pessoal — eu assumi e fui até o fim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30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27,5%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Chance de efetivação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28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25,7%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Bom relacionamento com a equipe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25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22,9%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 escala deu certo para mim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11,0%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Boa liderança no posto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5,5%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Não tinha outra opção de trabalho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2,8%</w:t>
            </w:r>
          </w:p>
        </w:tc>
      </w:tr>
    </w:tbl>
    <w:p>
      <w:pPr>
        <w:pStyle w:val="Heading2"/>
        <w:spacing w:after="120" w:before="280"/>
      </w:pPr>
      <w:r>
        <w:t xml:space="preserve">7.3 Como e quando a saída aconteceu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 saída foi decisão sua ou da empresa?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Eu pedi para sair (saída voluntária)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70,0%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Fui desligado pela empresa (saída involuntária)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10,0%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Combinamos a saída juntos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10,0%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Prefiro não dizer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10,0%</w:t>
            </w:r>
          </w:p>
        </w:tc>
      </w:tr>
    </w:tbl>
    <w:p>
      <w:pPr>
        <w:spacing w:after="10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/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 que momento decidiu que ia sair?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Já nos primeiros dias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50,0%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Na primeira semana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30,0%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Não foi decisão minha — fui desligado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10,0%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Perto do fim, quando já estava quase acabando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10,0%</w:t>
            </w:r>
          </w:p>
        </w:tc>
      </w:tr>
    </w:tbl>
    <w:p>
      <w:pPr>
        <w:spacing w:after="10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/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Quanto tempo ficou antes de sair?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Menos de 7 dias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60,0%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De 7 a 15 dias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40,0%</w:t>
            </w:r>
          </w:p>
        </w:tc>
      </w:tr>
    </w:tbl>
    <w:p>
      <w:pPr>
        <w:spacing w:after="10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/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Avisou alguém antes de sair?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Sim, avisei com antecedência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70,0%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Não se aplica — fui desligado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10,0%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Não avisei — só parei de ir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10,0%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Avisei em cima da hora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10,0%</w:t>
            </w:r>
          </w:p>
        </w:tc>
      </w:tr>
    </w:tbl>
    <w:p>
      <w:pPr>
        <w:pBdr>
          <w:left w:val="single" w:color="1C5CAB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1C5CAB"/>
          <w:sz w:val="21"/>
          <w:szCs w:val="21"/>
        </w:rPr>
        <w:t xml:space="preserve">A decisão vem antes do aviso</w:t>
      </w:r>
    </w:p>
    <w:p>
      <w:pPr>
        <w:pBdr>
          <w:left w:val="single" w:color="1C5CAB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8 das 10 saídas foram decididas nos primeiros dias ou na primeira semana. A maioria avisou com antecedência — ou seja, a operação teve o aviso. O que faltou foi uma conversa antes disso.</w:t>
      </w:r>
    </w:p>
    <w:p>
      <w:pPr>
        <w:pStyle w:val="Heading2"/>
        <w:spacing w:after="120" w:before="280"/>
      </w:pPr>
      <w:r>
        <w:t xml:space="preserve">7.4 Motivo declarado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Qual foi o motivo REAL da sua saída?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Prefiro não dizer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30,0%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Problema pessoal ou familiar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20,0%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Problema de saúde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20,0%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Chefia ou liderança no posto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10,0%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Escala e falta de folga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10,0%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Consegui outro emprego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10,0%</w:t>
            </w:r>
          </w:p>
        </w:tc>
      </w:tr>
    </w:tbl>
    <w:p>
      <w:pPr>
        <w:pStyle w:val="Heading2"/>
        <w:spacing w:after="120" w:before="280"/>
      </w:pPr>
      <w:r>
        <w:t xml:space="preserve">7.5 O que teria feito ficar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teria feito você ficar até o fim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Citações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Alguém que me ouvisse quando o problema começou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33,3%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Tratamento melhor da liderança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22,2%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Nada — eu sairia de qualquer forma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22,2%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Salário maior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11,1%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Transporte garantido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11,1%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Escala melhor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11,1%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Promessa clara de efetivação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11,1%</w:t>
            </w:r>
          </w:p>
        </w:tc>
      </w:tr>
    </w:tbl>
    <w:p>
      <w:pPr>
        <w:pBdr>
          <w:left w:val="single" w:color="1C5CAB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1C5CAB"/>
          <w:sz w:val="21"/>
          <w:szCs w:val="21"/>
        </w:rPr>
        <w:t xml:space="preserve">O item mais citado não custa nada</w:t>
      </w:r>
    </w:p>
    <w:p>
      <w:pPr>
        <w:pBdr>
          <w:left w:val="single" w:color="1C5CAB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"Alguém que me ouvisse quando o problema começou" é o que mais aparece — 3 de 10 respostas. É o mesmo achado da seção 6.1, visto do outro lado: quem saiu queria ter tido com quem falar.</w:t>
      </w:r>
    </w:p>
    <w:p>
      <w:r>
        <w:br w:type="page"/>
      </w:r>
    </w:p>
    <w:p>
      <w:pPr>
        <w:pStyle w:val="Heading1"/>
        <w:spacing w:after="170" w:before="340"/>
      </w:pPr>
      <w:r>
        <w:t xml:space="preserve">8. Salário e remuneração</w:t>
      </w:r>
    </w:p>
    <w:p>
      <w:pPr>
        <w:spacing w:after="13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Esta seção e as três seguintes vêm da rodada 2. A pergunta central era simples: o salário explica o absenteísmo e a saída antecipada? A resposta é não.</w:t>
      </w:r>
    </w:p>
    <w:p>
      <w:pPr>
        <w:pStyle w:val="Heading2"/>
        <w:spacing w:after="120" w:before="280"/>
      </w:pPr>
      <w:r>
        <w:t xml:space="preserve">8.1 Nota do salário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2600"/>
        <w:gridCol w:w="751"/>
        <w:gridCol w:w="751"/>
        <w:gridCol w:w="751"/>
        <w:gridCol w:w="751"/>
        <w:gridCol w:w="751"/>
        <w:gridCol w:w="751"/>
        <w:gridCol w:w="751"/>
        <w:gridCol w:w="751"/>
        <w:gridCol w:w="751"/>
      </w:tblGrid>
      <w:tr>
        <w:trPr>
          <w:tblHeader/>
        </w:trPr>
        <w:tc>
          <w:tcPr>
            <w:tcW w:type="dxa" w:w="26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 atribuída (0 a 10)</w:t>
            </w:r>
          </w:p>
        </w:tc>
        <w:tc>
          <w:tcPr>
            <w:tcW w:type="dxa" w:w="751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751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751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751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751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751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751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751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751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Respostas</w:t>
            </w:r>
          </w:p>
        </w:tc>
        <w:tc>
          <w:tcPr>
            <w:tcW w:type="dxa" w:w="7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7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</w:t>
            </w:r>
          </w:p>
        </w:tc>
        <w:tc>
          <w:tcPr>
            <w:tcW w:type="dxa" w:w="7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7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</w:t>
            </w:r>
          </w:p>
        </w:tc>
        <w:tc>
          <w:tcPr>
            <w:tcW w:type="dxa" w:w="7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</w:t>
            </w:r>
          </w:p>
        </w:tc>
        <w:tc>
          <w:tcPr>
            <w:tcW w:type="dxa" w:w="7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</w:t>
            </w:r>
          </w:p>
        </w:tc>
        <w:tc>
          <w:tcPr>
            <w:tcW w:type="dxa" w:w="7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16</w:t>
            </w:r>
          </w:p>
        </w:tc>
        <w:tc>
          <w:tcPr>
            <w:tcW w:type="dxa" w:w="7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11</w:t>
            </w:r>
          </w:p>
        </w:tc>
        <w:tc>
          <w:tcPr>
            <w:tcW w:type="dxa" w:w="7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28</w:t>
            </w:r>
          </w:p>
        </w:tc>
      </w:tr>
    </w:tbl>
    <w:p>
      <w:pPr>
        <w:spacing w:after="12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/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Nota média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8,09</w:t>
            </w:r>
          </w:p>
        </w:tc>
      </w:tr>
      <w:tr>
        <w:tc>
          <w:tcPr>
            <w:tcW w:type="dxa" w:w="6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Recomendam (notas 9 e 10)</w:t>
            </w:r>
          </w:p>
        </w:tc>
        <w:tc>
          <w:tcPr>
            <w:tcW w:type="dxa" w:w="3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39 · 49,4%</w:t>
            </w:r>
          </w:p>
        </w:tc>
      </w:tr>
      <w:tr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Indiferentes (notas 7 e 8)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25 · 31,6%</w:t>
            </w:r>
          </w:p>
        </w:tc>
      </w:tr>
      <w:tr>
        <w:tc>
          <w:tcPr>
            <w:tcW w:type="dxa" w:w="6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Não recomendam (notas 0 a 6)</w:t>
            </w:r>
          </w:p>
        </w:tc>
        <w:tc>
          <w:tcPr>
            <w:tcW w:type="dxa" w:w="3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15 · 19,0%</w:t>
            </w:r>
          </w:p>
        </w:tc>
      </w:tr>
      <w:tr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Índice de recomendação do salário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30,4</w:t>
            </w:r>
          </w:p>
        </w:tc>
      </w:tr>
    </w:tbl>
    <w:p>
      <w:pPr>
        <w:pStyle w:val="Heading2"/>
        <w:spacing w:after="120" w:before="280"/>
      </w:pPr>
      <w:r>
        <w:t xml:space="preserve">8.2 Expectativa e mercado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valor atendeu o que você esperava ao aceitar a vaga?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Foi mais do que eu esperava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19,0%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Foi o que eu esperava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57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72,2%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Foi menos do que eu esperava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8,9%</w:t>
            </w:r>
          </w:p>
        </w:tc>
      </w:tr>
    </w:tbl>
    <w:p>
      <w:pPr>
        <w:spacing w:after="10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/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Comparado a outros temporários da região, o pagamento é: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Melhor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36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45,6%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Parecido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25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31,6%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Pior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2,5%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Não sei comparar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20,3%</w:t>
            </w:r>
          </w:p>
        </w:tc>
      </w:tr>
    </w:tbl>
    <w:p>
      <w:pPr>
        <w:pBdr>
          <w:left w:val="single" w:color="0C7A3E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0C7A3E"/>
          <w:sz w:val="21"/>
          <w:szCs w:val="21"/>
        </w:rPr>
        <w:t xml:space="preserve">Exigência, não revolta</w:t>
      </w:r>
    </w:p>
    <w:p>
      <w:pPr>
        <w:pBdr>
          <w:left w:val="single" w:color="0C7A3E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91,1% tiveram a expectativa atendida ou superada e apenas 2,5% consideram o pagamento pior que o do mercado local. O índice 30,4 é o mais baixo dos três medidos e ainda assim positivo. A leitura correta é: o salário não afasta, mas também não segura. Ele não é o que precisa ser corrigido primeiro.</w:t>
      </w:r>
    </w:p>
    <w:p>
      <w:pPr>
        <w:pStyle w:val="Heading2"/>
        <w:spacing w:after="120" w:before="280"/>
      </w:pPr>
      <w:r>
        <w:t xml:space="preserve">8.3 O que faria diferença no pagamento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3300"/>
        <w:gridCol w:w="1100"/>
        <w:gridCol w:w="1700"/>
        <w:gridCol w:w="3260"/>
      </w:tblGrid>
      <w:tr>
        <w:trPr>
          <w:tblHeader/>
        </w:trPr>
        <w:tc>
          <w:tcPr>
            <w:tcW w:type="dxa" w:w="33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mais faria diferença</w:t>
            </w:r>
          </w:p>
        </w:tc>
        <w:tc>
          <w:tcPr>
            <w:tcW w:type="dxa" w:w="11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Citações</w:t>
            </w:r>
          </w:p>
        </w:tc>
        <w:tc>
          <w:tcPr>
            <w:tcW w:type="dxa" w:w="17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dos respondentes</w:t>
            </w:r>
          </w:p>
        </w:tc>
        <w:tc>
          <w:tcPr>
            <w:tcW w:type="dxa" w:w="32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Natureza do custo</w:t>
            </w:r>
          </w:p>
        </w:tc>
      </w:tr>
      <w:t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Valor maior da diária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43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54,4%</w:t>
            </w:r>
          </w:p>
        </w:tc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Custo fixo</w:t>
            </w:r>
          </w:p>
        </w:tc>
      </w:tr>
      <w:tr>
        <w:tc>
          <w:tcPr>
            <w:tcW w:type="dxa" w:w="3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Bônus por não faltar</w:t>
            </w:r>
          </w:p>
        </w:tc>
        <w:tc>
          <w:tcPr>
            <w:tcW w:type="dxa" w:w="11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31</w:t>
            </w:r>
          </w:p>
        </w:tc>
        <w:tc>
          <w:tcPr>
            <w:tcW w:type="dxa" w:w="1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39,2%</w:t>
            </w:r>
          </w:p>
        </w:tc>
        <w:tc>
          <w:tcPr>
            <w:tcW w:type="dxa" w:w="32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Condicionado a resultado</w:t>
            </w:r>
          </w:p>
        </w:tc>
      </w:tr>
      <w:t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Bônus por ficar até o fim da temporada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31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39,2%</w:t>
            </w:r>
          </w:p>
        </w:tc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Condicionado a resultado</w:t>
            </w:r>
          </w:p>
        </w:tc>
      </w:tr>
      <w:tr>
        <w:tc>
          <w:tcPr>
            <w:tcW w:type="dxa" w:w="3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Pagamento semanal</w:t>
            </w:r>
          </w:p>
        </w:tc>
        <w:tc>
          <w:tcPr>
            <w:tcW w:type="dxa" w:w="11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</w:t>
            </w:r>
          </w:p>
        </w:tc>
        <w:tc>
          <w:tcPr>
            <w:tcW w:type="dxa" w:w="1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15,2%</w:t>
            </w:r>
          </w:p>
        </w:tc>
        <w:tc>
          <w:tcPr>
            <w:tcW w:type="dxa" w:w="32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Fluxo de caixa, sem custo extra</w:t>
            </w:r>
          </w:p>
        </w:tc>
      </w:tr>
      <w:t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Ajuda de custo para transporte ou alimentação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3,8%</w:t>
            </w:r>
          </w:p>
        </w:tc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Custo fixo</w:t>
            </w:r>
          </w:p>
        </w:tc>
      </w:tr>
    </w:tbl>
    <w:p>
      <w:pPr>
        <w:spacing w:after="200" w:before="60" w:line="26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Base: 79 respondentes, até 2 marcações cada.</w:t>
      </w:r>
    </w:p>
    <w:p>
      <w:pPr>
        <w:pBdr>
          <w:left w:val="single" w:color="0C7A3E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0C7A3E"/>
          <w:sz w:val="21"/>
          <w:szCs w:val="21"/>
        </w:rPr>
        <w:t xml:space="preserve">Existe uma saída mais barata que o reajuste linear</w:t>
      </w:r>
    </w:p>
    <w:p>
      <w:pPr>
        <w:pBdr>
          <w:left w:val="single" w:color="0C7A3E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39,2% aceitariam bônus por não faltar e 39,2% bônus por ficar até o fim. São os dois problemas da rodada 1 — absenteísmo e saída antecipada — com pagamento condicionado a resultado, e não custo fixo sobre toda a folha. Entre as 15 pessoas que deram nota 6 ou menos ao salário, o padrão se repete.</w:t>
      </w:r>
    </w:p>
    <w:p>
      <w:r>
        <w:br w:type="page"/>
      </w:r>
    </w:p>
    <w:p>
      <w:pPr>
        <w:pStyle w:val="Heading1"/>
        <w:spacing w:after="170" w:before="340"/>
      </w:pPr>
      <w:r>
        <w:t xml:space="preserve">9. Condições de trabalho e respeito</w:t>
      </w:r>
    </w:p>
    <w:p>
      <w:pPr>
        <w:pStyle w:val="Heading2"/>
        <w:spacing w:after="120" w:before="280"/>
      </w:pPr>
      <w:r>
        <w:t xml:space="preserve">9.1 Nota das condições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2600"/>
        <w:gridCol w:w="845"/>
        <w:gridCol w:w="845"/>
        <w:gridCol w:w="845"/>
        <w:gridCol w:w="845"/>
        <w:gridCol w:w="845"/>
        <w:gridCol w:w="845"/>
        <w:gridCol w:w="845"/>
        <w:gridCol w:w="845"/>
      </w:tblGrid>
      <w:tr>
        <w:trPr>
          <w:tblHeader/>
        </w:trPr>
        <w:tc>
          <w:tcPr>
            <w:tcW w:type="dxa" w:w="26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 atribuída (0 a 10)</w:t>
            </w:r>
          </w:p>
        </w:tc>
        <w:tc>
          <w:tcPr>
            <w:tcW w:type="dxa" w:w="845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45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45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845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845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845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845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845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Respostas</w:t>
            </w:r>
          </w:p>
        </w:tc>
        <w:tc>
          <w:tcPr>
            <w:tcW w:type="dxa" w:w="84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84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84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84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</w:t>
            </w:r>
          </w:p>
        </w:tc>
        <w:tc>
          <w:tcPr>
            <w:tcW w:type="dxa" w:w="84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84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16</w:t>
            </w:r>
          </w:p>
        </w:tc>
        <w:tc>
          <w:tcPr>
            <w:tcW w:type="dxa" w:w="84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</w:t>
            </w:r>
          </w:p>
        </w:tc>
        <w:tc>
          <w:tcPr>
            <w:tcW w:type="dxa" w:w="84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37</w:t>
            </w:r>
          </w:p>
        </w:tc>
      </w:tr>
    </w:tbl>
    <w:p>
      <w:pPr>
        <w:spacing w:after="12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/>
      </w:r>
    </w:p>
    <w:p>
      <w:pPr>
        <w:spacing w:after="130" w:line="28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Nota média 8,54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, contra 8,09 do salário. Índice de recomendação 48,1, contra 30,4. As pessoas avaliam melhor as condições do que a remuneração.</w:t>
      </w:r>
    </w:p>
    <w:p>
      <w:pPr>
        <w:pStyle w:val="Heading2"/>
        <w:spacing w:after="120" w:before="280"/>
      </w:pPr>
      <w:r>
        <w:t xml:space="preserve">9.2 O que precisa melhorar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3300"/>
        <w:gridCol w:w="1100"/>
        <w:gridCol w:w="1700"/>
        <w:gridCol w:w="3260"/>
      </w:tblGrid>
      <w:tr>
        <w:trPr>
          <w:tblHeader/>
        </w:trPr>
        <w:tc>
          <w:tcPr>
            <w:tcW w:type="dxa" w:w="33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Frente</w:t>
            </w:r>
          </w:p>
        </w:tc>
        <w:tc>
          <w:tcPr>
            <w:tcW w:type="dxa" w:w="11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Citações</w:t>
            </w:r>
          </w:p>
        </w:tc>
        <w:tc>
          <w:tcPr>
            <w:tcW w:type="dxa" w:w="17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dos respondentes</w:t>
            </w:r>
          </w:p>
        </w:tc>
        <w:tc>
          <w:tcPr>
            <w:tcW w:type="dxa" w:w="32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 quem depende</w:t>
            </w:r>
          </w:p>
        </w:tc>
      </w:tr>
      <w:t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Alimentação e refeitório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25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31,6%</w:t>
            </w:r>
          </w:p>
        </w:tc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Aviva</w:t>
            </w:r>
          </w:p>
        </w:tc>
      </w:tr>
      <w:tr>
        <w:tc>
          <w:tcPr>
            <w:tcW w:type="dxa" w:w="3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Local para descanso e cadeiras</w:t>
            </w:r>
          </w:p>
        </w:tc>
        <w:tc>
          <w:tcPr>
            <w:tcW w:type="dxa" w:w="11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23</w:t>
            </w:r>
          </w:p>
        </w:tc>
        <w:tc>
          <w:tcPr>
            <w:tcW w:type="dxa" w:w="1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29,1%</w:t>
            </w:r>
          </w:p>
        </w:tc>
        <w:tc>
          <w:tcPr>
            <w:tcW w:type="dxa" w:w="32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Aviva</w:t>
            </w:r>
          </w:p>
        </w:tc>
      </w:tr>
      <w:t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Escala e folgas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22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27,8%</w:t>
            </w:r>
          </w:p>
        </w:tc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Negociação conjunta</w:t>
            </w:r>
          </w:p>
        </w:tc>
      </w:tr>
      <w:tr>
        <w:tc>
          <w:tcPr>
            <w:tcW w:type="dxa" w:w="3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Tratamento pelos funcionários efetivos</w:t>
            </w:r>
          </w:p>
        </w:tc>
        <w:tc>
          <w:tcPr>
            <w:tcW w:type="dxa" w:w="11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18</w:t>
            </w:r>
          </w:p>
        </w:tc>
        <w:tc>
          <w:tcPr>
            <w:tcW w:type="dxa" w:w="1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22,8%</w:t>
            </w:r>
          </w:p>
        </w:tc>
        <w:tc>
          <w:tcPr>
            <w:tcW w:type="dxa" w:w="32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Aviva — custo zero</w:t>
            </w:r>
          </w:p>
        </w:tc>
      </w:tr>
      <w:t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Transporte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15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19,0%</w:t>
            </w:r>
          </w:p>
        </w:tc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Negociação conjunta</w:t>
            </w:r>
          </w:p>
        </w:tc>
      </w:tr>
      <w:tr>
        <w:tc>
          <w:tcPr>
            <w:tcW w:type="dxa" w:w="3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Nada, estava bom</w:t>
            </w:r>
          </w:p>
        </w:tc>
        <w:tc>
          <w:tcPr>
            <w:tcW w:type="dxa" w:w="11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15</w:t>
            </w:r>
          </w:p>
        </w:tc>
        <w:tc>
          <w:tcPr>
            <w:tcW w:type="dxa" w:w="1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19,0%</w:t>
            </w:r>
          </w:p>
        </w:tc>
        <w:tc>
          <w:tcPr>
            <w:tcW w:type="dxa" w:w="32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Banheiros e vestiários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15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19,0%</w:t>
            </w:r>
          </w:p>
        </w:tc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Aviva</w:t>
            </w:r>
          </w:p>
        </w:tc>
      </w:tr>
      <w:tr>
        <w:tc>
          <w:tcPr>
            <w:tcW w:type="dxa" w:w="3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Uniforme e equipamentos</w:t>
            </w:r>
          </w:p>
        </w:tc>
        <w:tc>
          <w:tcPr>
            <w:tcW w:type="dxa" w:w="11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11,4%</w:t>
            </w:r>
          </w:p>
        </w:tc>
        <w:tc>
          <w:tcPr>
            <w:tcW w:type="dxa" w:w="32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Mendes RH</w:t>
            </w:r>
          </w:p>
        </w:tc>
      </w:tr>
      <w:t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Tratamento pela segurança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5,1%</w:t>
            </w:r>
          </w:p>
        </w:tc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Aviva — custo zero</w:t>
            </w:r>
          </w:p>
        </w:tc>
      </w:tr>
    </w:tbl>
    <w:p>
      <w:pPr>
        <w:spacing w:after="200" w:before="60" w:line="26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Base: 79 respondentes, até 3 marcações cada.</w:t>
      </w:r>
    </w:p>
    <w:p>
      <w:pPr>
        <w:pBdr>
          <w:left w:val="single" w:color="8A5A00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A coluna que organiza a conversa com o cliente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Alimentação, banheiros e local de descanso são investimento da Aviva. Escala e transporte são negociação conjunta. Uniforme é da Mendes RH. E o tratamento dado pelos efetivos e pela segurança não custa dinheiro nenhum — é o item mais barato da lista e o que mais aparece nos relatos abertos.</w:t>
      </w:r>
    </w:p>
    <w:p>
      <w:pPr>
        <w:pStyle w:val="Heading2"/>
        <w:spacing w:after="120" w:before="280"/>
      </w:pPr>
      <w:r>
        <w:t xml:space="preserve">9.3 Respeito no ambiente de trabalho</w:t>
      </w:r>
    </w:p>
    <w:p>
      <w:pPr>
        <w:spacing w:after="13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Pergunta nova nesta rodada. Foi incluída porque a rodada 1 trouxe, em um campo aberto, um relato que exigia apuração formal — e não havia como medir se aquilo era exceção ou padrão.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3000"/>
        <w:gridCol w:w="1400"/>
        <w:gridCol w:w="1200"/>
        <w:gridCol w:w="1880"/>
        <w:gridCol w:w="1880"/>
      </w:tblGrid>
      <w:tr>
        <w:trPr>
          <w:tblHeader/>
        </w:trPr>
        <w:tc>
          <w:tcPr>
            <w:tcW w:type="dxa" w:w="3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Você se sentiu respeitado(a)?</w:t>
            </w:r>
          </w:p>
        </w:tc>
        <w:tc>
          <w:tcPr>
            <w:tcW w:type="dxa" w:w="14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12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88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 salário</w:t>
            </w:r>
          </w:p>
        </w:tc>
        <w:tc>
          <w:tcPr>
            <w:tcW w:type="dxa" w:w="188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 condições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Sempre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57,0%</w:t>
            </w:r>
          </w:p>
        </w:tc>
        <w:tc>
          <w:tcPr>
            <w:tcW w:type="dxa" w:w="1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8,20</w:t>
            </w:r>
          </w:p>
        </w:tc>
        <w:tc>
          <w:tcPr>
            <w:tcW w:type="dxa" w:w="1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9,02</w:t>
            </w:r>
          </w:p>
        </w:tc>
      </w:tr>
      <w:tr>
        <w:tc>
          <w:tcPr>
            <w:tcW w:type="dxa" w:w="3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Na maior parte do tempo</w:t>
            </w:r>
          </w:p>
        </w:tc>
        <w:tc>
          <w:tcPr>
            <w:tcW w:type="dxa" w:w="14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25</w:t>
            </w:r>
          </w:p>
        </w:tc>
        <w:tc>
          <w:tcPr>
            <w:tcW w:type="dxa" w:w="1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31,6%</w:t>
            </w:r>
          </w:p>
        </w:tc>
        <w:tc>
          <w:tcPr>
            <w:tcW w:type="dxa" w:w="188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8,52</w:t>
            </w:r>
          </w:p>
        </w:tc>
        <w:tc>
          <w:tcPr>
            <w:tcW w:type="dxa" w:w="188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8,48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Poucas vezes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11,4%</w:t>
            </w:r>
          </w:p>
        </w:tc>
        <w:tc>
          <w:tcPr>
            <w:tcW w:type="dxa" w:w="1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6,33</w:t>
            </w:r>
          </w:p>
        </w:tc>
        <w:tc>
          <w:tcPr>
            <w:tcW w:type="dxa" w:w="1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6,33</w:t>
            </w:r>
          </w:p>
        </w:tc>
      </w:tr>
    </w:tbl>
    <w:p>
      <w:pPr>
        <w:pBdr>
          <w:left w:val="single" w:color="A32020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A32020"/>
          <w:sz w:val="21"/>
          <w:szCs w:val="21"/>
        </w:rPr>
        <w:t xml:space="preserve">Não é uma escada, é um degrau</w:t>
      </w:r>
    </w:p>
    <w:p>
      <w:pPr>
        <w:pBdr>
          <w:left w:val="single" w:color="A3202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Entre "sempre" e "na maior parte do tempo" as notas praticamente não mudam — a média dos dois é 8,36 no salário e 8,75 nas condições. Quem marcou "poucas vezes" cai para 6,33 e 6,33, recebendo o mesmo valor de diária que os colegas de função. O desrespeito não incomoda um pouco: quando acontece, contamina a avaliação inteira. São 9 pessoas — poucas o bastante para tratar caso a caso, em vez de por política geral.</w:t>
      </w:r>
    </w:p>
    <w:p>
      <w:pPr>
        <w:pStyle w:val="Heading2"/>
        <w:spacing w:after="120" w:before="280"/>
      </w:pPr>
      <w:r>
        <w:t xml:space="preserve">9.4 Onde o problema se concentra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2700"/>
        <w:gridCol w:w="600"/>
        <w:gridCol w:w="1000"/>
        <w:gridCol w:w="1400"/>
        <w:gridCol w:w="1300"/>
        <w:gridCol w:w="1200"/>
        <w:gridCol w:w="1160"/>
      </w:tblGrid>
      <w:tr>
        <w:trPr>
          <w:tblHeader/>
        </w:trPr>
        <w:tc>
          <w:tcPr>
            <w:tcW w:type="dxa" w:w="27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6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Sempre</w:t>
            </w:r>
          </w:p>
        </w:tc>
        <w:tc>
          <w:tcPr>
            <w:tcW w:type="dxa" w:w="14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 maior parte</w:t>
            </w:r>
          </w:p>
        </w:tc>
        <w:tc>
          <w:tcPr>
            <w:tcW w:type="dxa" w:w="13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Poucas vezes</w:t>
            </w:r>
          </w:p>
        </w:tc>
        <w:tc>
          <w:tcPr>
            <w:tcW w:type="dxa" w:w="12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 salário</w:t>
            </w:r>
          </w:p>
        </w:tc>
        <w:tc>
          <w:tcPr>
            <w:tcW w:type="dxa" w:w="11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Quer CLT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Garçom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21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8,19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76%</w:t>
            </w:r>
          </w:p>
        </w:tc>
      </w:tr>
      <w:tr>
        <w:tc>
          <w:tcPr>
            <w:tcW w:type="dxa" w:w="2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Atendente de Parque</w:t>
            </w:r>
          </w:p>
        </w:tc>
        <w:tc>
          <w:tcPr>
            <w:tcW w:type="dxa" w:w="6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7,60</w:t>
            </w:r>
          </w:p>
        </w:tc>
        <w:tc>
          <w:tcPr>
            <w:tcW w:type="dxa" w:w="11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Auxiliar de Serviços Gerais / Limpeza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8,50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62%</w:t>
            </w:r>
          </w:p>
        </w:tc>
      </w:tr>
      <w:tr>
        <w:tc>
          <w:tcPr>
            <w:tcW w:type="dxa" w:w="2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Camareira</w:t>
            </w:r>
          </w:p>
        </w:tc>
        <w:tc>
          <w:tcPr>
            <w:tcW w:type="dxa" w:w="6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6,62</w:t>
            </w:r>
          </w:p>
        </w:tc>
        <w:tc>
          <w:tcPr>
            <w:tcW w:type="dxa" w:w="11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88%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Atendente de Hotelaria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8,14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71%</w:t>
            </w:r>
          </w:p>
        </w:tc>
      </w:tr>
      <w:tr>
        <w:tc>
          <w:tcPr>
            <w:tcW w:type="dxa" w:w="27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Outra</w:t>
            </w:r>
          </w:p>
        </w:tc>
        <w:tc>
          <w:tcPr>
            <w:tcW w:type="dxa" w:w="6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9,00</w:t>
            </w:r>
          </w:p>
        </w:tc>
        <w:tc>
          <w:tcPr>
            <w:tcW w:type="dxa" w:w="11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Recepcionista de Parques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9,00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67%</w:t>
            </w:r>
          </w:p>
        </w:tc>
      </w:tr>
    </w:tbl>
    <w:p>
      <w:pPr>
        <w:spacing w:after="200" w:before="60" w:line="26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Apenas funções com 5 ou mais respostas.</w:t>
      </w:r>
    </w:p>
    <w:p>
      <w:pPr>
        <w:pStyle w:val="Heading2"/>
        <w:spacing w:after="120" w:before="280"/>
      </w:pPr>
      <w:r>
        <w:t xml:space="preserve">9.5 Relatos abertos</w:t>
      </w:r>
    </w:p>
    <w:p>
      <w:pPr>
        <w:spacing w:after="13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17 pessoas escreveram no campo aberto de relato. 6 responderam que não tinham nada a relatar. As 11 restantes descrevem alguma situação, e se distribuem em quatro padrões: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Fronteira efetivo × temporário.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O padrão dominante. Sobrecarga transferida ao temporário, comentários sobre aparência, recepção hostil em postos específicos. Dois relatos independentes citam o mesmo posto.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Conduta individual nominal.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Um relato cita, com nome e função, alguém cuja conduta descrita coincide com o caso reportado anonimamente na rodada 1. São dois respondentes independentes, em rodadas diferentes, descrevendo o mesmo comportamento — o que tira o caso da condição de relato isolado.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Identidade de gênero.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Uma pessoa em transição relata ter tido o nome social ignorado de forma reiterada. É ausência de política, não conduta isolada: exige campo de nome social no cadastro e orientação formal a supervisores.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Crachá e portaria.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Constrangimento na entrada por não ter recebido crachá na contratação nem orientação sobre sua necessidade. Falha de processo da Mendes RH, corrigível imediatamente.</w:t>
      </w:r>
    </w:p>
    <w:p>
      <w:pPr>
        <w:pBdr>
          <w:left w:val="single" w:color="A32020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A32020"/>
          <w:sz w:val="21"/>
          <w:szCs w:val="21"/>
        </w:rPr>
        <w:t xml:space="preserve">Onde estão os textos</w:t>
      </w:r>
    </w:p>
    <w:p>
      <w:pPr>
        <w:pBdr>
          <w:left w:val="single" w:color="A3202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Os relatos na íntegra estão no documento INTERNO_Relatos_Rodada2.docx, de uso restrito, junto com o encaminhamento sugerido para cada caso. Casos que citam pessoas seguem pelo canal de conduta, com registro formal — não por este relatório e não pelo painel.</w:t>
      </w:r>
    </w:p>
    <w:p>
      <w:r>
        <w:br w:type="page"/>
      </w:r>
    </w:p>
    <w:p>
      <w:pPr>
        <w:pStyle w:val="Heading1"/>
        <w:spacing w:after="170" w:before="340"/>
      </w:pPr>
      <w:r>
        <w:t xml:space="preserve">10. Efetivação CLT na Aviva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Teria interesse em ser efetivado(a) como CLT na Aviva / Rio Quente?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Sim, com certeza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64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81,0%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Talvez, depende das condições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15,2%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Não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3,8%</w:t>
            </w:r>
          </w:p>
        </w:tc>
      </w:tr>
    </w:tbl>
    <w:p>
      <w:pPr>
        <w:spacing w:after="12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/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pesa contra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Citações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Escala e horários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40,0%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Já tenho outro trabalho ou estudo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33,3%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Salário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33,3%</w:t>
            </w:r>
          </w:p>
        </w:tc>
      </w:tr>
      <w:tr>
        <w:tc>
          <w:tcPr>
            <w:tcW w:type="dxa" w:w="5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Distância ou transporte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26,7%</w:t>
            </w:r>
          </w:p>
        </w:tc>
      </w:tr>
      <w:tr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Prefiro trabalho temporário mesmo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6,7%</w:t>
            </w:r>
          </w:p>
        </w:tc>
      </w:tr>
    </w:tbl>
    <w:p>
      <w:pPr>
        <w:spacing w:after="200" w:before="60" w:line="26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Base: 15 pessoas que responderam "talvez" ou "não". Base pequena — leitura indicativa.</w:t>
      </w:r>
    </w:p>
    <w:p>
      <w:pPr>
        <w:spacing w:after="13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65 pessoas indicaram em qual área gostariam de trabalhar como efetivas. As mais citadas são bares e restaurantes, hotelaria e governança, e parques e recreação — as mesmas áreas em que já atuaram como temporárias.</w:t>
      </w:r>
    </w:p>
    <w:p>
      <w:pPr>
        <w:pBdr>
          <w:left w:val="single" w:color="0C7A3E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0C7A3E"/>
          <w:sz w:val="21"/>
          <w:szCs w:val="21"/>
        </w:rPr>
        <w:t xml:space="preserve">O que isso significa em custo</w:t>
      </w:r>
    </w:p>
    <w:p>
      <w:pPr>
        <w:pBdr>
          <w:left w:val="single" w:color="0C7A3E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Essas pessoas já foram captadas, treinadas, integradas à operação e demonstraram que ficam até o fim do contrato. Uma trilha formal de efetivação converteria parte do custo de captação da próxima temporada em investimento com retorno conhecido. É a única ação deste relatório que depende mais da Aviva do que da Mendes RH — e a de maior ganho reputacional para ambas.</w:t>
      </w:r>
    </w:p>
    <w:p>
      <w:r>
        <w:br w:type="page"/>
      </w:r>
    </w:p>
    <w:p>
      <w:pPr>
        <w:pStyle w:val="Heading1"/>
        <w:spacing w:after="170" w:before="340"/>
      </w:pPr>
      <w:r>
        <w:t xml:space="preserve">11. O que as duas rodadas dizem juntas</w:t>
      </w:r>
    </w:p>
    <w:p>
      <w:pPr>
        <w:spacing w:after="13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A rodada 1 levantou hipóteses a partir de campos abertos e escalas. A rodada 2 foi desenhada para medi-las. “Confirmado” significa que o tema apareceu espontaneamente na primeira e foi dimensionado na segunda.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2000"/>
        <w:gridCol w:w="3000"/>
        <w:gridCol w:w="2900"/>
        <w:gridCol w:w="1460"/>
      </w:tblGrid>
      <w:tr>
        <w:trPr>
          <w:tblHeader/>
        </w:trPr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3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Rodada 1</w:t>
            </w:r>
          </w:p>
        </w:tc>
        <w:tc>
          <w:tcPr>
            <w:tcW w:type="dxa" w:w="29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Rodada 2</w:t>
            </w:r>
          </w:p>
        </w:tc>
        <w:tc>
          <w:tcPr>
            <w:tcW w:type="dxa" w:w="14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Veredito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Tratamento pelos efetivos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Nota 4,27 na escala, 6 notas 1, tema recorrente no campo aberto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23% pedem melhora · 43% com falha de respeito</w:t>
            </w:r>
          </w:p>
        </w:tc>
        <w:tc>
          <w:tcPr>
            <w:tcW w:type="dxa" w:w="1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Transporte</w:t>
            </w:r>
          </w:p>
        </w:tc>
        <w:tc>
          <w:tcPr>
            <w:tcW w:type="dxa" w:w="3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30% de quem faltou citou · 90,0% dependem do fretado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19% pedem melhora</w:t>
            </w:r>
          </w:p>
        </w:tc>
        <w:tc>
          <w:tcPr>
            <w:tcW w:type="dxa" w:w="14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Escala e folgas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Aparece entre o que teria feito ficar e no campo aberto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28% pedem melhora · maior freio à efetivação</w:t>
            </w:r>
          </w:p>
        </w:tc>
        <w:tc>
          <w:tcPr>
            <w:tcW w:type="dxa" w:w="1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Alimentação e descanso</w:t>
            </w:r>
          </w:p>
        </w:tc>
        <w:tc>
          <w:tcPr>
            <w:tcW w:type="dxa" w:w="3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Nota 4,31 na escala; pedidos pontuais no campo aberto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32% alimentação · 29% cadeiras para descanso</w:t>
            </w:r>
          </w:p>
        </w:tc>
        <w:tc>
          <w:tcPr>
            <w:tcW w:type="dxa" w:w="14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AMPLIADO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Salário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Baixa presença entre causas de falta e de saída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91,1% com expectativa atendida</w:t>
            </w:r>
          </w:p>
        </w:tc>
        <w:tc>
          <w:tcPr>
            <w:tcW w:type="dxa" w:w="1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DESCARTADO</w:t>
            </w:r>
          </w:p>
        </w:tc>
      </w:tr>
    </w:tbl>
    <w:p>
      <w:pPr>
        <w:pStyle w:val="Heading2"/>
        <w:spacing w:after="120" w:before="280"/>
      </w:pPr>
      <w:r>
        <w:t xml:space="preserve">11.1 O retrato conjunto</w:t>
      </w:r>
    </w:p>
    <w:p>
      <w:pPr>
        <w:spacing w:after="13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As duas rodadas somam 199 respostas coletadas em cinco dias. A segunda teve 65,8% de retorno em um único dia, disparada apenas para quem já havia respondido a primeira — é o indicador mais direto de que a escuta tem credibilidade com esse público.</w:t>
      </w:r>
    </w:p>
    <w:p>
      <w:pPr>
        <w:spacing w:after="130" w:line="28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A hipótese do salário caiu.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Era a suspeita natural para explicar 43,1% de absenteísmo e 18 saídas antecipadas. A rodada 2 mostra 91,1% com a expectativa atendida ou superada. O salário é exigente, não é ferida.</w:t>
      </w:r>
    </w:p>
    <w:p>
      <w:pPr>
        <w:spacing w:after="130" w:line="28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O que sobra é relação.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Voz na rodada 1 — quem não se sente à vontade para falar falta 70% contra 36%. Respeito na rodada 2 — 43,0% com alguma falha. São a mesma coisa vista de dois ângulos: a fronteira entre efetivo e temporário, e a ausência de alguém escutando durante o contrato, não só no fim dele. Nenhum dos dois se resolve com dinheiro.</w:t>
      </w:r>
    </w:p>
    <w:p>
      <w:pPr>
        <w:spacing w:after="130" w:line="28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E há uma oportunidade que ninguém pediu.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96,2% querem ou considerariam efetivação CLT na Aviva. Essas pessoas já foram treinadas, já conhecem a operação e já demonstraram que ficam até o fim.</w:t>
      </w:r>
    </w:p>
    <w:p>
      <w:r>
        <w:br w:type="page"/>
      </w:r>
    </w:p>
    <w:p>
      <w:pPr>
        <w:pStyle w:val="Heading1"/>
        <w:spacing w:after="170" w:before="340"/>
      </w:pPr>
      <w:r>
        <w:t xml:space="preserve">12. Plano de ação</w:t>
      </w:r>
    </w:p>
    <w:p>
      <w:pPr>
        <w:spacing w:after="13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Onze ações, ordenadas por relação entre impacto esperado e custo. As cinco primeiras não dependem de negociação com o cliente e podem começar nesta semana.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500"/>
        <w:gridCol w:w="2900"/>
        <w:gridCol w:w="2900"/>
        <w:gridCol w:w="900"/>
        <w:gridCol w:w="2160"/>
      </w:tblGrid>
      <w:tr>
        <w:trPr>
          <w:tblHeader/>
        </w:trPr>
        <w:tc>
          <w:tcPr>
            <w:tcW w:type="dxa" w:w="5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9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 na pesquisa</w:t>
            </w:r>
          </w:p>
        </w:tc>
        <w:tc>
          <w:tcPr>
            <w:tcW w:type="dxa" w:w="9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21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Conversa de 5 minutos no 3º e no 7º dia, com registro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 de 10 saídas decididas na 1ª semana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Zero</w:t>
            </w:r>
          </w:p>
        </w:tc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Mendes RH</w:t>
            </w:r>
          </w:p>
        </w:tc>
      </w:tr>
      <w:tr>
        <w:tc>
          <w:tcPr>
            <w:tcW w:type="dxa" w:w="5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Zerar erro e atraso de pagamento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Quem teve erro faltou 62% contra 38%</w:t>
            </w:r>
          </w:p>
        </w:tc>
        <w:tc>
          <w:tcPr>
            <w:tcW w:type="dxa" w:w="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Zero</w:t>
            </w:r>
          </w:p>
        </w:tc>
        <w:tc>
          <w:tcPr>
            <w:tcW w:type="dxa" w:w="21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Mendes RH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Entregar crachá na contratação e explicar seu uso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Relato de constrangimento na portaria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Zero</w:t>
            </w:r>
          </w:p>
        </w:tc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Mendes RH</w:t>
            </w:r>
          </w:p>
        </w:tc>
      </w:tr>
      <w:tr>
        <w:tc>
          <w:tcPr>
            <w:tcW w:type="dxa" w:w="5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Apurar os relatos nominais pelo canal de conduta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Caso corroborado entre as duas rodadas</w:t>
            </w:r>
          </w:p>
        </w:tc>
        <w:tc>
          <w:tcPr>
            <w:tcW w:type="dxa" w:w="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Zero</w:t>
            </w:r>
          </w:p>
        </w:tc>
        <w:tc>
          <w:tcPr>
            <w:tcW w:type="dxa" w:w="21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Mendes RH + Aviva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Nome social no cadastro e orientação a supervisores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 relato reiterado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Zero</w:t>
            </w:r>
          </w:p>
        </w:tc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Mendes RH</w:t>
            </w:r>
          </w:p>
        </w:tc>
      </w:tr>
      <w:tr>
        <w:tc>
          <w:tcPr>
            <w:tcW w:type="dxa" w:w="5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Alinhamento com efetivos e segurança sobre o temporário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23% pedem · 43% com falha de respeito</w:t>
            </w:r>
          </w:p>
        </w:tc>
        <w:tc>
          <w:tcPr>
            <w:tcW w:type="dxa" w:w="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Zero</w:t>
            </w:r>
          </w:p>
        </w:tc>
        <w:tc>
          <w:tcPr>
            <w:tcW w:type="dxa" w:w="21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Aviva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Diagnóstico dirigido em Camareira e governança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Pior nota de salário e maior taxa de “poucas vezes”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Baixo</w:t>
            </w:r>
          </w:p>
        </w:tc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Mendes RH + Aviva</w:t>
            </w:r>
          </w:p>
        </w:tc>
      </w:tr>
      <w:tr>
        <w:tc>
          <w:tcPr>
            <w:tcW w:type="dxa" w:w="5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Canal de escuta ativo durante a temporada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Sem voz falta 70%, com voz 36%</w:t>
            </w:r>
          </w:p>
        </w:tc>
        <w:tc>
          <w:tcPr>
            <w:tcW w:type="dxa" w:w="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Baixo</w:t>
            </w:r>
          </w:p>
        </w:tc>
        <w:tc>
          <w:tcPr>
            <w:tcW w:type="dxa" w:w="21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Mendes RH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Piloto de bônus por assiduidade e por conclusão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39,2% e 39,2% aceitariam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Médio</w:t>
            </w:r>
          </w:p>
        </w:tc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Negociação</w:t>
            </w:r>
          </w:p>
        </w:tc>
      </w:tr>
      <w:tr>
        <w:tc>
          <w:tcPr>
            <w:tcW w:type="dxa" w:w="5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Auditoria do transporte fretado</w:t>
            </w:r>
          </w:p>
        </w:tc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90,0% dependem · 19% pedem melhora</w:t>
            </w:r>
          </w:p>
        </w:tc>
        <w:tc>
          <w:tcPr>
            <w:tcW w:type="dxa" w:w="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Médio</w:t>
            </w:r>
          </w:p>
        </w:tc>
        <w:tc>
          <w:tcPr>
            <w:tcW w:type="dxa" w:w="21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Negociação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11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Trilha formal de efetivação com a Aviva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96,2% querem ou considerariam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Médio</w:t>
            </w:r>
          </w:p>
        </w:tc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Aviva</w:t>
            </w:r>
          </w:p>
        </w:tc>
      </w:tr>
    </w:tbl>
    <w:p>
      <w:pPr>
        <w:pStyle w:val="Heading2"/>
        <w:spacing w:after="120" w:before="280"/>
      </w:pPr>
      <w:r>
        <w:t xml:space="preserve">12.1 O que precisa de decisão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Aprovar as ações 1 a 5, internas, para começar imediatamente.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Levar as ações 6 e 7 à Aviva como pauta formal, com os números desta pesquisa.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Definir se o piloto de bônus entra na negociação da próxima temporada e em qual função.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Abrir a conversa sobre a trilha de efetivação — a demanda existe e está documentada.</w:t>
      </w:r>
    </w:p>
    <w:p>
      <w:r>
        <w:br w:type="page"/>
      </w:r>
    </w:p>
    <w:p>
      <w:pPr>
        <w:pStyle w:val="Heading1"/>
        <w:spacing w:after="170" w:before="340"/>
      </w:pPr>
      <w:r>
        <w:t xml:space="preserve">13. Limitações e ficha técnica</w:t>
      </w:r>
    </w:p>
    <w:p>
      <w:pPr>
        <w:pStyle w:val="Heading2"/>
        <w:spacing w:after="120" w:before="280"/>
      </w:pPr>
      <w:r>
        <w:t xml:space="preserve">13.1 O que este relatório não sustenta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Os dois públicos se sobrepõem.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A rodada 2 foi disparada só para quem respondeu a rodada 1. Não são amostras independentes e os resultados não podem ser somados nem tratados como validação cruzada estatística — são o mesmo grupo respondendo duas vezes, sobre assuntos diferentes.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Viés de sobrevivência.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94,9% das respostas da rodada 2 vêm de quem cumpriu a temporada. Quem saiu antes está sub-representado nas duas rodadas, e é justamente o grupo cuja opinião mais importaria para explicar a saída. Todos os indicadores de satisfação devem ser lidos como teto, não como média.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Recortes pequenos foram suprimidos.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Funções com menos de 5 respostas não aparecem em nenhuma tabela por função. Abaixo desse volume o recorte identifica quem respondeu e quebra o anonimato prometido no formulário.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As bases das seções 7 e 10 são pequenas.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10 respostas no questionário de saída e 15 no que pesa contra a efetivação. Servem para orientar hipótese, não para fechar decisão sozinhas.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Autodeclaração.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Faltas, motivos e percepções são o que a pessoa relatou, não o que o ponto registrou. A conciliação com o ponto está no dashboard, na aba da temporada, e é onde os dois se encontram.</w:t>
      </w:r>
    </w:p>
    <w:p>
      <w:pPr>
        <w:pStyle w:val="Heading2"/>
        <w:spacing w:after="120" w:before="280"/>
      </w:pPr>
      <w:r>
        <w:t xml:space="preserve">13.2 Ficha técnica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58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Rodada 1</w:t>
            </w:r>
          </w:p>
        </w:tc>
        <w:tc>
          <w:tcPr>
            <w:tcW w:type="dxa" w:w="358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Rodada 2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Objeto</w:t>
            </w:r>
          </w:p>
        </w:tc>
        <w:tc>
          <w:tcPr>
            <w:tcW w:type="dxa" w:w="35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Experiência, faltas, saída, vínculo</w:t>
            </w:r>
          </w:p>
        </w:tc>
        <w:tc>
          <w:tcPr>
            <w:tcW w:type="dxa" w:w="35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Salário, condições, respeito, efetivação</w:t>
            </w:r>
          </w:p>
        </w:tc>
      </w:tr>
      <w:tr>
        <w:tc>
          <w:tcPr>
            <w:tcW w:type="dxa" w:w="2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Coleta</w:t>
            </w:r>
          </w:p>
        </w:tc>
        <w:tc>
          <w:tcPr>
            <w:tcW w:type="dxa" w:w="358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 a 10 de agosto de 2026</w:t>
            </w:r>
          </w:p>
        </w:tc>
        <w:tc>
          <w:tcPr>
            <w:tcW w:type="dxa" w:w="358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 de agosto de 2026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Convites</w:t>
            </w:r>
          </w:p>
        </w:tc>
        <w:tc>
          <w:tcPr>
            <w:tcW w:type="dxa" w:w="35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178</w:t>
            </w:r>
          </w:p>
        </w:tc>
        <w:tc>
          <w:tcPr>
            <w:tcW w:type="dxa" w:w="35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2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Respostas</w:t>
            </w:r>
          </w:p>
        </w:tc>
        <w:tc>
          <w:tcPr>
            <w:tcW w:type="dxa" w:w="358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120</w:t>
            </w:r>
          </w:p>
        </w:tc>
        <w:tc>
          <w:tcPr>
            <w:tcW w:type="dxa" w:w="358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79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Taxa</w:t>
            </w:r>
          </w:p>
        </w:tc>
        <w:tc>
          <w:tcPr>
            <w:tcW w:type="dxa" w:w="35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67,4%</w:t>
            </w:r>
          </w:p>
        </w:tc>
        <w:tc>
          <w:tcPr>
            <w:tcW w:type="dxa" w:w="35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65,8%</w:t>
            </w:r>
          </w:p>
        </w:tc>
      </w:tr>
      <w:tr>
        <w:tc>
          <w:tcPr>
            <w:tcW w:type="dxa" w:w="2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Questionários</w:t>
            </w:r>
          </w:p>
        </w:tc>
        <w:tc>
          <w:tcPr>
            <w:tcW w:type="dxa" w:w="358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 (cumpriu / saiu antes)</w:t>
            </w:r>
          </w:p>
        </w:tc>
        <w:tc>
          <w:tcPr>
            <w:tcW w:type="dxa" w:w="358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Canal</w:t>
            </w:r>
          </w:p>
        </w:tc>
        <w:tc>
          <w:tcPr>
            <w:tcW w:type="dxa" w:w="35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WhatsApp, envio individual</w:t>
            </w:r>
          </w:p>
        </w:tc>
        <w:tc>
          <w:tcPr>
            <w:tcW w:type="dxa" w:w="35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WhatsApp, envio individual</w:t>
            </w:r>
          </w:p>
        </w:tc>
      </w:tr>
      <w:tr>
        <w:tc>
          <w:tcPr>
            <w:tcW w:type="dxa" w:w="2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Incentivo</w:t>
            </w:r>
          </w:p>
        </w:tc>
        <w:tc>
          <w:tcPr>
            <w:tcW w:type="dxa" w:w="358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Par de ingressos garantido</w:t>
            </w:r>
          </w:p>
        </w:tc>
        <w:tc>
          <w:tcPr>
            <w:tcW w:type="dxa" w:w="358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Sorteio de 10 prêmios de R$ 70 via PIX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Anonimato</w:t>
            </w:r>
          </w:p>
        </w:tc>
        <w:tc>
          <w:tcPr>
            <w:tcW w:type="dxa" w:w="35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Cadastro em formulário separado</w:t>
            </w:r>
          </w:p>
        </w:tc>
        <w:tc>
          <w:tcPr>
            <w:tcW w:type="dxa" w:w="35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Cadastro em formulário separado</w:t>
            </w:r>
          </w:p>
        </w:tc>
      </w:tr>
      <w:tr>
        <w:tc>
          <w:tcPr>
            <w:tcW w:type="dxa" w:w="2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Corte mínimo</w:t>
            </w:r>
          </w:p>
        </w:tc>
        <w:tc>
          <w:tcPr>
            <w:tcW w:type="dxa" w:w="358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 respostas por recorte</w:t>
            </w:r>
          </w:p>
        </w:tc>
        <w:tc>
          <w:tcPr>
            <w:tcW w:type="dxa" w:w="358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 respostas por recorte</w:t>
            </w:r>
          </w:p>
        </w:tc>
      </w:tr>
    </w:tbl>
    <w:p>
      <w:pPr>
        <w:pStyle w:val="Heading2"/>
        <w:spacing w:after="120" w:before="280"/>
      </w:pPr>
      <w:r>
        <w:t xml:space="preserve">13.3 Documentos relacionados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Dashboard, aba Pesquisa Jul/26.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Mesmos números, com filtros por grupo e por função e exportação em PDF.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INTERNO_Relatos_Rodada2.docx.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Relatos abertos na íntegra e encaminhamento por caso. Uso restrito.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LEIA-ME_organizacao.md.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Convenção de pastas e rotina de atualização do dashboard.</w:t>
      </w:r>
    </w:p>
    <w:p>
      <w:pPr>
        <w:spacing w:before="400"/>
      </w:pPr>
      <w:r>
        <w:rPr>
          <w:rFonts w:ascii="Calibri" w:cs="Calibri" w:eastAsia="Calibri" w:hAnsi="Calibri"/>
          <w:i/>
          <w:iCs/>
          <w:color w:val="898781"/>
          <w:sz w:val="17"/>
          <w:szCs w:val="17"/>
        </w:rPr>
        <w:t xml:space="preserve">Números gerados a partir da mesma base do dashboard · Mendes RH · agosto de 2026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right"/>
    </w:pPr>
    <w:r>
      <w:rPr>
        <w:rFonts w:ascii="Calibri" w:cs="Calibri" w:eastAsia="Calibri" w:hAnsi="Calibri"/>
        <w:color w:val="898781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color w:val="898781"/>
        <w:sz w:val="16"/>
        <w:szCs w:val="16"/>
      </w:rPr>
      <w:t xml:space="preserve">Escuta do Temporário · duas rodadas</w:t>
    </w:r>
    <w:r>
      <w:rPr>
        <w:rFonts w:ascii="Calibri" w:cs="Calibri" w:eastAsia="Calibri" w:hAnsi="Calibri"/>
        <w:color w:val="898781"/>
        <w:sz w:val="16"/>
        <w:szCs w:val="16"/>
      </w:rPr>
      <w:t xml:space="preserve">		Mendes RH · Aviva / Rio Quente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70" w:before="340"/>
    </w:pPr>
    <w:rPr>
      <w:rFonts w:ascii="Calibri" w:cs="Calibri" w:eastAsia="Calibri" w:hAnsi="Calibri"/>
      <w:b/>
      <w:bCs/>
      <w:color w:val="0D36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0B0B0B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Escuta do Temporário — relatório completo das duas rodadas</dc:title>
  <dc:creator>Mendes RH</dc:creator>
  <dc:description>Temporada de julho de 2026 · Mendes RH x Aviva / Rio Quente Resorts</dc:description>
  <cp:lastModifiedBy>Un-named</cp:lastModifiedBy>
  <cp:revision>1</cp:revision>
  <dcterms:created xsi:type="dcterms:W3CDTF">2026-08-11T02:43:00.575Z</dcterms:created>
  <dcterms:modified xsi:type="dcterms:W3CDTF">2026-08-11T02:43:00.576Z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