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300"/>
      </w:pPr>
      <w:r>
        <w:rPr>
          <w:rFonts w:ascii="Calibri" w:cs="Calibri" w:eastAsia="Calibri" w:hAnsi="Calibri"/>
          <w:b/>
          <w:bCs/>
          <w:color w:val="1C5CAB"/>
          <w:sz w:val="20"/>
          <w:szCs w:val="20"/>
        </w:rPr>
        <w:t xml:space="preserve">MENDES RH  ·  AVIVA / RIO QUENTE RESORTS</w:t>
      </w:r>
    </w:p>
    <w:p>
      <w:pPr>
        <w:spacing w:after="60"/>
      </w:pPr>
      <w:r>
        <w:rPr>
          <w:rFonts w:ascii="Calibri" w:cs="Calibri" w:eastAsia="Calibri" w:hAnsi="Calibri"/>
          <w:b/>
          <w:bCs/>
          <w:color w:val="0B0B0B"/>
          <w:sz w:val="52"/>
          <w:szCs w:val="52"/>
        </w:rPr>
        <w:t xml:space="preserve">Pesquisa de Experiência do Temporário</w:t>
      </w:r>
    </w:p>
    <w:p>
      <w:pPr>
        <w:spacing w:after="340"/>
      </w:pPr>
      <w:r>
        <w:rPr>
          <w:rFonts w:ascii="Calibri" w:cs="Calibri" w:eastAsia="Calibri" w:hAnsi="Calibri"/>
          <w:color w:val="52514E"/>
          <w:sz w:val="26"/>
          <w:szCs w:val="26"/>
        </w:rPr>
        <w:t xml:space="preserve">Temporada de julho de 2026 · Resultados, leitura e plano de ação</w:t>
      </w:r>
    </w:p>
    <w:p>
      <w:pPr>
        <w:spacing w:after="120" w:line="276"/>
      </w:pPr>
      <w:r>
        <w:rPr>
          <w:rFonts w:ascii="Calibri" w:cs="Calibri" w:eastAsia="Calibri" w:hAnsi="Calibri"/>
          <w:color w:val="52514E"/>
          <w:sz w:val="21"/>
          <w:szCs w:val="21"/>
        </w:rPr>
        <w:t xml:space="preserve">114 respostas coletadas entre 6 e 10 de agosto de 2026. Este documento apresenta os resultados das duas pesquisas aplicadas ao final da temporada, a leitura cruzada com a curva de absenteísmo do dashboard, as limitações da amostra e o plano de ação decorrente.</w:t>
      </w:r>
    </w:p>
    <w:p>
      <w:pPr>
        <w:spacing w:after="120" w:line="276"/>
      </w:pPr>
      <w:r>
        <w:rPr>
          <w:rFonts w:ascii="Calibri" w:cs="Calibri" w:eastAsia="Calibri" w:hAnsi="Calibri"/>
          <w:i/>
          <w:iCs/>
          <w:color w:val="52514E"/>
          <w:sz w:val="21"/>
          <w:szCs w:val="21"/>
        </w:rPr>
        <w:t xml:space="preserve">Todos os números deste relatório são os mesmos exibidos na aba Pesquisa do dashboard, calculados pelo mesmo código. Se um percentual for questionado, ele pode ser reproduzido na tela na hora.</w:t>
      </w:r>
    </w:p>
    <w:p>
      <w:r>
        <w:br w:type="page"/>
      </w:r>
    </w:p>
    <w:p>
      <w:pPr>
        <w:pStyle w:val="Heading1"/>
        <w:spacing w:after="160" w:before="320"/>
      </w:pPr>
      <w:r>
        <w:t xml:space="preserve">1. Resumo executivo</w:t>
      </w:r>
    </w:p>
    <w:p>
      <w:pPr>
        <w:spacing w:after="120" w:line="276"/>
      </w:pPr>
      <w:r>
        <w:rPr>
          <w:rFonts w:ascii="Calibri" w:cs="Calibri" w:eastAsia="Calibri" w:hAnsi="Calibri"/>
          <w:color w:val="0B0B0B"/>
          <w:sz w:val="21"/>
          <w:szCs w:val="21"/>
        </w:rPr>
        <w:t xml:space="preserve">A temporada de julho entregou 108,5% da demanda contratada e registrou 14,05% de absenteísmo. A pesquisa foi desenhada para responder o que o dashboard não responde: por que as pessoas faltaram e por que algumas saíram antes do fim. Cinco conclusões sustentam o resto deste documento.</w:t>
      </w:r>
    </w:p>
    <w:p>
      <w:pPr>
        <w:pBdr>
          <w:left w:val="single" w:color="0C7A3E" w:sz="18" w:space="8"/>
        </w:pBdr>
        <w:shd w:fill="F4F6F9" w:color="auto" w:val="clear"/>
        <w:spacing w:after="60" w:before="220"/>
        <w:ind w:left="200"/>
      </w:pPr>
      <w:r>
        <w:rPr>
          <w:rFonts w:ascii="Calibri" w:cs="Calibri" w:eastAsia="Calibri" w:hAnsi="Calibri"/>
          <w:b/>
          <w:bCs/>
          <w:color w:val="0C7A3E"/>
          <w:sz w:val="21"/>
          <w:szCs w:val="21"/>
        </w:rPr>
        <w:t xml:space="preserve">1. A falta é majoritariamente involuntária</w:t>
      </w:r>
    </w:p>
    <w:p>
      <w:pPr>
        <w:pBdr>
          <w:left w:val="single" w:color="0C7A3E" w:sz="18" w:space="8"/>
        </w:pBdr>
        <w:shd w:fill="F4F6F9" w:color="auto" w:val="clear"/>
        <w:spacing w:after="220" w:before="0" w:line="276"/>
        <w:ind w:left="200"/>
      </w:pPr>
      <w:r>
        <w:rPr>
          <w:rFonts w:ascii="Calibri" w:cs="Calibri" w:eastAsia="Calibri" w:hAnsi="Calibri"/>
          <w:color w:val="52514E"/>
          <w:sz w:val="20"/>
          <w:szCs w:val="20"/>
        </w:rPr>
        <w:t xml:space="preserve">Entre as 52 pessoas que declararam ao menos uma ausência, 48,1% apontaram problema de saúde, 30,8% não conseguiram chegar por transporte e 28,8% citaram cansaço acumulado. Desânimo com o trabalho, bico no mesmo dia e trabalho pesado demais para o valor pago aparecem em 5,8% cada. O absenteísmo desta temporada é um problema de saúde e de logística, não de engajamento.</w:t>
      </w:r>
    </w:p>
    <w:p>
      <w:pPr>
        <w:pBdr>
          <w:left w:val="single" w:color="0C7A3E" w:sz="18" w:space="8"/>
        </w:pBdr>
        <w:shd w:fill="F4F6F9" w:color="auto" w:val="clear"/>
        <w:spacing w:after="60" w:before="220"/>
        <w:ind w:left="200"/>
      </w:pPr>
      <w:r>
        <w:rPr>
          <w:rFonts w:ascii="Calibri" w:cs="Calibri" w:eastAsia="Calibri" w:hAnsi="Calibri"/>
          <w:b/>
          <w:bCs/>
          <w:color w:val="0C7A3E"/>
          <w:sz w:val="21"/>
          <w:szCs w:val="21"/>
        </w:rPr>
        <w:t xml:space="preserve">2. Quem não tem com quem falar falta quase o dobro</w:t>
      </w:r>
    </w:p>
    <w:p>
      <w:pPr>
        <w:pBdr>
          <w:left w:val="single" w:color="0C7A3E" w:sz="18" w:space="8"/>
        </w:pBdr>
        <w:shd w:fill="F4F6F9" w:color="auto" w:val="clear"/>
        <w:spacing w:after="220" w:before="0" w:line="276"/>
        <w:ind w:left="200"/>
      </w:pPr>
      <w:r>
        <w:rPr>
          <w:rFonts w:ascii="Calibri" w:cs="Calibri" w:eastAsia="Calibri" w:hAnsi="Calibri"/>
          <w:color w:val="52514E"/>
          <w:sz w:val="20"/>
          <w:szCs w:val="20"/>
        </w:rPr>
        <w:t xml:space="preserve">Entre quem se sentiu à vontade para falar quando algo estava errado, 36% faltaram. Entre quem não se sentiu, 70%. O mesmo corte prediz a intenção de sair: 16% contra 40%. É o achado mais acionável da pesquisa e o de menor custo.</w:t>
      </w:r>
    </w:p>
    <w:p>
      <w:pPr>
        <w:pBdr>
          <w:left w:val="single" w:color="1C5CAB" w:sz="18" w:space="8"/>
        </w:pBdr>
        <w:shd w:fill="F4F6F9" w:color="auto" w:val="clear"/>
        <w:spacing w:after="60" w:before="220"/>
        <w:ind w:left="200"/>
      </w:pPr>
      <w:r>
        <w:rPr>
          <w:rFonts w:ascii="Calibri" w:cs="Calibri" w:eastAsia="Calibri" w:hAnsi="Calibri"/>
          <w:b/>
          <w:bCs/>
          <w:color w:val="1C5CAB"/>
          <w:sz w:val="21"/>
          <w:szCs w:val="21"/>
        </w:rPr>
        <w:t xml:space="preserve">3. A decisão de sair acontece na primeira semana</w:t>
      </w:r>
    </w:p>
    <w:p>
      <w:pPr>
        <w:pBdr>
          <w:left w:val="single" w:color="1C5CAB" w:sz="18" w:space="8"/>
        </w:pBdr>
        <w:shd w:fill="F4F6F9" w:color="auto" w:val="clear"/>
        <w:spacing w:after="220" w:before="0" w:line="276"/>
        <w:ind w:left="200"/>
      </w:pPr>
      <w:r>
        <w:rPr>
          <w:rFonts w:ascii="Calibri" w:cs="Calibri" w:eastAsia="Calibri" w:hAnsi="Calibri"/>
          <w:color w:val="52514E"/>
          <w:sz w:val="20"/>
          <w:szCs w:val="20"/>
        </w:rPr>
        <w:t xml:space="preserve">Das 10 saídas que responderam o questionário próprio, 8 foram decididas nos primeiros dias ou na primeira semana, e 6 se concretizaram antes do sétimo dia de contrato. A janela de intervenção é curtíssima — e hoje não existe nenhuma ação programada dentro dela.</w:t>
      </w:r>
    </w:p>
    <w:p>
      <w:pPr>
        <w:pBdr>
          <w:left w:val="single" w:color="0C7A3E" w:sz="18" w:space="8"/>
        </w:pBdr>
        <w:shd w:fill="F4F6F9" w:color="auto" w:val="clear"/>
        <w:spacing w:after="60" w:before="220"/>
        <w:ind w:left="200"/>
      </w:pPr>
      <w:r>
        <w:rPr>
          <w:rFonts w:ascii="Calibri" w:cs="Calibri" w:eastAsia="Calibri" w:hAnsi="Calibri"/>
          <w:b/>
          <w:bCs/>
          <w:color w:val="0C7A3E"/>
          <w:sz w:val="21"/>
          <w:szCs w:val="21"/>
        </w:rPr>
        <w:t xml:space="preserve">4. O vínculo com a Mendes RH é um ativo, e é mensurável</w:t>
      </w:r>
    </w:p>
    <w:p>
      <w:pPr>
        <w:pBdr>
          <w:left w:val="single" w:color="0C7A3E" w:sz="18" w:space="8"/>
        </w:pBdr>
        <w:shd w:fill="F4F6F9" w:color="auto" w:val="clear"/>
        <w:spacing w:after="220" w:before="0" w:line="276"/>
        <w:ind w:left="200"/>
      </w:pPr>
      <w:r>
        <w:rPr>
          <w:rFonts w:ascii="Calibri" w:cs="Calibri" w:eastAsia="Calibri" w:hAnsi="Calibri"/>
          <w:color w:val="52514E"/>
          <w:sz w:val="20"/>
          <w:szCs w:val="20"/>
        </w:rPr>
        <w:t xml:space="preserve">Índice de recomendação de 70,1 entre quem cumpriu a temporada — 72 pessoas indicariam a Mendes RH a um amigo e apenas 4 não indicariam, em 97 respostas — e de 58,8 entre quem saiu antes do fim. No total, 98,2% voltariam ou considerariam voltar na próxima temporada e 78,8% aceitariam uma vaga fixa na hora.</w:t>
      </w:r>
    </w:p>
    <w:p>
      <w:pPr>
        <w:pBdr>
          <w:left w:val="single" w:color="8A5A00" w:sz="18" w:space="8"/>
        </w:pBdr>
        <w:shd w:fill="F4F6F9" w:color="auto" w:val="clear"/>
        <w:spacing w:after="60" w:before="220"/>
        <w:ind w:left="200"/>
      </w:pPr>
      <w:r>
        <w:rPr>
          <w:rFonts w:ascii="Calibri" w:cs="Calibri" w:eastAsia="Calibri" w:hAnsi="Calibri"/>
          <w:b/>
          <w:bCs/>
          <w:color w:val="8A5A00"/>
          <w:sz w:val="21"/>
          <w:szCs w:val="21"/>
        </w:rPr>
        <w:t xml:space="preserve">5. Existe um risco concentrado em Camareira</w:t>
      </w:r>
    </w:p>
    <w:p>
      <w:pPr>
        <w:pBdr>
          <w:left w:val="single" w:color="8A5A00" w:sz="18" w:space="8"/>
        </w:pBdr>
        <w:shd w:fill="F4F6F9" w:color="auto" w:val="clear"/>
        <w:spacing w:after="220" w:before="0" w:line="276"/>
        <w:ind w:left="200"/>
      </w:pPr>
      <w:r>
        <w:rPr>
          <w:rFonts w:ascii="Calibri" w:cs="Calibri" w:eastAsia="Calibri" w:hAnsi="Calibri"/>
          <w:color w:val="52514E"/>
          <w:sz w:val="20"/>
          <w:szCs w:val="20"/>
        </w:rPr>
        <w:t xml:space="preserve">Índice de recomendação de 28,6 contra 68,4 da média geral, 71% de incidência de falta e 43% de intenção de saída. É a única função com os três indicadores simultaneamente ruins. São 7 respostas — não sustenta conclusão, mas sustenta investigação.</w:t>
      </w:r>
    </w:p>
    <w:p>
      <w:r>
        <w:br w:type="page"/>
      </w:r>
    </w:p>
    <w:p>
      <w:pPr>
        <w:pStyle w:val="Heading1"/>
        <w:spacing w:after="160" w:before="320"/>
      </w:pPr>
      <w:r>
        <w:t xml:space="preserve">2. Participação e qualidade da amostra</w:t>
      </w:r>
    </w:p>
    <w:tbl>
      <w:tblPr>
        <w:tblW w:type="dxa" w:w="9360"/>
        <w:tblBorders>
          <w:top w:val="single" w:color="D9D8D2" w:sz="2"/>
          <w:left w:val="single" w:color="D9D8D2" w:sz="2"/>
          <w:bottom w:val="single" w:color="D9D8D2" w:sz="2"/>
          <w:right w:val="single" w:color="D9D8D2" w:sz="2"/>
          <w:insideH w:val="single" w:color="EAE9E3" w:sz="2"/>
          <w:insideV w:val="single" w:color="EAE9E3" w:sz="2"/>
        </w:tblBorders>
      </w:tblPr>
      <w:tblGrid>
        <w:gridCol w:w="3260"/>
        <w:gridCol w:w="1500"/>
        <w:gridCol w:w="1500"/>
        <w:gridCol w:w="1550"/>
        <w:gridCol w:w="1550"/>
      </w:tblGrid>
      <w:tr>
        <w:trPr>
          <w:tblHeader/>
        </w:trPr>
        <w:tc>
          <w:tcPr>
            <w:tcW w:type="dxa" w:w="326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Questionário enviado</w:t>
            </w:r>
          </w:p>
        </w:tc>
        <w:tc>
          <w:tcPr>
            <w:tcW w:type="dxa" w:w="15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Convites</w:t>
            </w:r>
          </w:p>
        </w:tc>
        <w:tc>
          <w:tcPr>
            <w:tcW w:type="dxa" w:w="15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Respostas</w:t>
            </w:r>
          </w:p>
        </w:tc>
        <w:tc>
          <w:tcPr>
            <w:tcW w:type="dxa" w:w="155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Taxa</w:t>
            </w:r>
          </w:p>
        </w:tc>
        <w:tc>
          <w:tcPr>
            <w:tcW w:type="dxa" w:w="155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Meta do plano</w:t>
            </w:r>
          </w:p>
        </w:tc>
      </w:tr>
      <w:tr>
        <w:tc>
          <w:tcPr>
            <w:tcW w:type="dxa" w:w="32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Para quem cumpriu a temporada</w:t>
            </w:r>
          </w:p>
        </w:tc>
        <w:tc>
          <w:tcPr>
            <w:tcW w:type="dxa" w:w="15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150</w:t>
            </w:r>
          </w:p>
        </w:tc>
        <w:tc>
          <w:tcPr>
            <w:tcW w:type="dxa" w:w="15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104</w:t>
            </w:r>
          </w:p>
        </w:tc>
        <w:tc>
          <w:tcPr>
            <w:tcW w:type="dxa" w:w="155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69,3%</w:t>
            </w:r>
          </w:p>
        </w:tc>
        <w:tc>
          <w:tcPr>
            <w:tcW w:type="dxa" w:w="155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60%</w:t>
            </w:r>
          </w:p>
        </w:tc>
      </w:tr>
      <w:tr>
        <w:tc>
          <w:tcPr>
            <w:tcW w:type="dxa" w:w="32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Para quem saiu antes do fim</w:t>
            </w:r>
          </w:p>
        </w:tc>
        <w:tc>
          <w:tcPr>
            <w:tcW w:type="dxa" w:w="15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28</w:t>
            </w:r>
          </w:p>
        </w:tc>
        <w:tc>
          <w:tcPr>
            <w:tcW w:type="dxa" w:w="15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10</w:t>
            </w:r>
          </w:p>
        </w:tc>
        <w:tc>
          <w:tcPr>
            <w:tcW w:type="dxa" w:w="155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35,7%</w:t>
            </w:r>
          </w:p>
        </w:tc>
        <w:tc>
          <w:tcPr>
            <w:tcW w:type="dxa" w:w="155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35%</w:t>
            </w:r>
          </w:p>
        </w:tc>
      </w:tr>
      <w:tr>
        <w:tc>
          <w:tcPr>
            <w:tcW w:type="dxa" w:w="32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Total</w:t>
            </w:r>
          </w:p>
        </w:tc>
        <w:tc>
          <w:tcPr>
            <w:tcW w:type="dxa" w:w="15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178</w:t>
            </w:r>
          </w:p>
        </w:tc>
        <w:tc>
          <w:tcPr>
            <w:tcW w:type="dxa" w:w="15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114</w:t>
            </w:r>
          </w:p>
        </w:tc>
        <w:tc>
          <w:tcPr>
            <w:tcW w:type="dxa" w:w="155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64,0%</w:t>
            </w:r>
          </w:p>
        </w:tc>
        <w:tc>
          <w:tcPr>
            <w:tcW w:type="dxa" w:w="155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w:t>
            </w:r>
          </w:p>
        </w:tc>
      </w:tr>
    </w:tbl>
    <w:p>
      <w:pPr>
        <w:spacing w:after="60" w:line="276"/>
      </w:pPr>
      <w:r>
        <w:rPr>
          <w:rFonts w:ascii="Calibri" w:cs="Calibri" w:eastAsia="Calibri" w:hAnsi="Calibri"/>
          <w:color w:val="0B0B0B"/>
          <w:sz w:val="21"/>
          <w:szCs w:val="21"/>
        </w:rPr>
        <w:t xml:space="preserve">As duas metas foram superadas. Na temporada anterior a pesquisa reuniu 76 respostas; esta reuniu 114, um aumento de 50% — com um questionário mais longo, o que normalmente derruba a adesão.</w:t>
      </w:r>
    </w:p>
    <w:p>
      <w:pPr>
        <w:spacing w:after="120" w:line="276"/>
      </w:pPr>
      <w:r>
        <w:rPr>
          <w:rFonts w:ascii="Calibri" w:cs="Calibri" w:eastAsia="Calibri" w:hAnsi="Calibri"/>
          <w:b/>
          <w:bCs/>
          <w:color w:val="0B0B0B"/>
          <w:sz w:val="21"/>
          <w:szCs w:val="21"/>
        </w:rPr>
        <w:t xml:space="preserve">O que explica o salto. </w:t>
      </w:r>
      <w:r>
        <w:rPr>
          <w:rFonts w:ascii="Calibri" w:cs="Calibri" w:eastAsia="Calibri" w:hAnsi="Calibri"/>
          <w:color w:val="0B0B0B"/>
          <w:sz w:val="21"/>
          <w:szCs w:val="21"/>
        </w:rPr>
        <w:t xml:space="preserve">Três mudanças de desenho, na ordem provável de impacto: a troca do sorteio de PIX pelo par de ingressos garantido, que remove o cálculo de probabilidade do respondente; a separação do cadastro de contato em formulário próprio, que torna o anonimato verificável em vez de prometido; e o disparo individual por WhatsApp com o primeiro nome, que não se confunde com lista de transmissão.</w:t>
      </w:r>
    </w:p>
    <w:p>
      <w:pPr>
        <w:pStyle w:val="Heading2"/>
        <w:spacing w:after="120" w:before="260"/>
      </w:pPr>
      <w:r>
        <w:t xml:space="preserve">2.1 A classificação vem do respondente, não da lista de disparo</w:t>
      </w:r>
    </w:p>
    <w:p>
      <w:pPr>
        <w:spacing w:after="120" w:line="276"/>
      </w:pPr>
      <w:r>
        <w:rPr>
          <w:rFonts w:ascii="Calibri" w:cs="Calibri" w:eastAsia="Calibri" w:hAnsi="Calibri"/>
          <w:color w:val="0B0B0B"/>
          <w:sz w:val="21"/>
          <w:szCs w:val="21"/>
        </w:rPr>
        <w:t xml:space="preserve">Sete das 104 pessoas que receberam o questionário de quem cumpriu a temporada declararam, na pergunta de triagem, que saíram antes do fim — todas por pedido de demissão. A pergunta existia exatamente para capturar esse erro de lista, e capturou.</w:t>
      </w:r>
    </w:p>
    <w:p>
      <w:pPr>
        <w:spacing w:after="120" w:line="276"/>
      </w:pPr>
      <w:r>
        <w:rPr>
          <w:rFonts w:ascii="Calibri" w:cs="Calibri" w:eastAsia="Calibri" w:hAnsi="Calibri"/>
          <w:b/>
          <w:bCs/>
          <w:color w:val="0B0B0B"/>
          <w:sz w:val="21"/>
          <w:szCs w:val="21"/>
        </w:rPr>
        <w:t xml:space="preserve">Todo este relatório usa a declaração do respondente como critério de grupo. </w:t>
      </w:r>
      <w:r>
        <w:rPr>
          <w:rFonts w:ascii="Calibri" w:cs="Calibri" w:eastAsia="Calibri" w:hAnsi="Calibri"/>
          <w:color w:val="0B0B0B"/>
          <w:sz w:val="21"/>
          <w:szCs w:val="21"/>
        </w:rPr>
        <w:t xml:space="preserve">A amostra analisada é, portanto, de </w:t>
      </w:r>
      <w:r>
        <w:rPr>
          <w:rFonts w:ascii="Calibri" w:cs="Calibri" w:eastAsia="Calibri" w:hAnsi="Calibri"/>
          <w:b/>
          <w:bCs/>
          <w:color w:val="0B0B0B"/>
          <w:sz w:val="21"/>
          <w:szCs w:val="21"/>
        </w:rPr>
        <w:t xml:space="preserve">97 pessoas que cumpriram a temporada e 17 que saíram antes</w:t>
      </w:r>
      <w:r>
        <w:rPr>
          <w:rFonts w:ascii="Calibri" w:cs="Calibri" w:eastAsia="Calibri" w:hAnsi="Calibri"/>
          <w:color w:val="0B0B0B"/>
          <w:sz w:val="21"/>
          <w:szCs w:val="21"/>
        </w:rPr>
        <w:t xml:space="preserve">. Os questionários enviados continuam sendo 104 e 10 — por isso a taxa de resposta da tabela acima segue calculada sobre o envio, que é como se mede adesão. As sete respostas reclassificadas seguem válidas para todas as perguntas do questionário longo.</w:t>
      </w:r>
    </w:p>
    <w:p>
      <w:pPr>
        <w:spacing w:after="120" w:line="276"/>
      </w:pPr>
      <w:r>
        <w:rPr>
          <w:rFonts w:ascii="Calibri" w:cs="Calibri" w:eastAsia="Calibri" w:hAnsi="Calibri"/>
          <w:b/>
          <w:bCs/>
          <w:color w:val="0B0B0B"/>
          <w:sz w:val="21"/>
          <w:szCs w:val="21"/>
        </w:rPr>
        <w:t xml:space="preserve">As sete são, sozinhas, um achado: </w:t>
      </w:r>
      <w:r>
        <w:rPr>
          <w:rFonts w:ascii="Calibri" w:cs="Calibri" w:eastAsia="Calibri" w:hAnsi="Calibri"/>
          <w:color w:val="0B0B0B"/>
          <w:sz w:val="21"/>
          <w:szCs w:val="21"/>
        </w:rPr>
        <w:t xml:space="preserve">7 de 7 pensaram em sair antes do fim e 6 de 7 faltaram ao menos um dia. Nenhuma outra combinação de respostas no questionário produz esse padrão.</w:t>
      </w:r>
    </w:p>
    <w:p>
      <w:pPr>
        <w:pStyle w:val="Heading2"/>
        <w:spacing w:after="120" w:before="260"/>
      </w:pPr>
      <w:r>
        <w:t xml:space="preserve">2.2 Duas bases de cálculo, e quando cada uma vale</w:t>
      </w:r>
    </w:p>
    <w:p>
      <w:pPr>
        <w:pStyle w:val="ListParagraph"/>
        <w:numPr>
          <w:ilvl w:val="0"/>
          <w:numId w:val="2"/>
        </w:numPr>
        <w:spacing w:after="80" w:line="276"/>
      </w:pPr>
      <w:r>
        <w:rPr>
          <w:rFonts w:ascii="Calibri" w:cs="Calibri" w:eastAsia="Calibri" w:hAnsi="Calibri"/>
          <w:b/>
          <w:bCs/>
          <w:color w:val="0B0B0B"/>
          <w:sz w:val="21"/>
          <w:szCs w:val="21"/>
        </w:rPr>
        <w:t xml:space="preserve">114 respostas. </w:t>
      </w:r>
      <w:r>
        <w:rPr>
          <w:rFonts w:ascii="Calibri" w:cs="Calibri" w:eastAsia="Calibri" w:hAnsi="Calibri"/>
          <w:color w:val="0B0B0B"/>
          <w:sz w:val="21"/>
          <w:szCs w:val="21"/>
        </w:rPr>
        <w:t xml:space="preserve">Vale para o que os dois questionários perguntam: função, local, moradia, transporte, faltas, causa da falta, recomendação e disposição de voltar. É a base padrão do dashboard e das tabelas por função.</w:t>
      </w:r>
    </w:p>
    <w:p>
      <w:pPr>
        <w:pStyle w:val="ListParagraph"/>
        <w:numPr>
          <w:ilvl w:val="0"/>
          <w:numId w:val="2"/>
        </w:numPr>
        <w:spacing w:after="80" w:line="276"/>
      </w:pPr>
      <w:r>
        <w:rPr>
          <w:rFonts w:ascii="Calibri" w:cs="Calibri" w:eastAsia="Calibri" w:hAnsi="Calibri"/>
          <w:b/>
          <w:bCs/>
          <w:color w:val="0B0B0B"/>
          <w:sz w:val="21"/>
          <w:szCs w:val="21"/>
        </w:rPr>
        <w:t xml:space="preserve">104 respostas. </w:t>
      </w:r>
      <w:r>
        <w:rPr>
          <w:rFonts w:ascii="Calibri" w:cs="Calibri" w:eastAsia="Calibri" w:hAnsi="Calibri"/>
          <w:color w:val="0B0B0B"/>
          <w:sz w:val="21"/>
          <w:szCs w:val="21"/>
        </w:rPr>
        <w:t xml:space="preserve">Vale para o que só o questionário longo pergunta: recepção, alimentação, tratamento dos efetivos, voz, pagamento, efetivação e intenção de sair. Onde este relatório usa essa base, o texto avisa.</w:t>
      </w:r>
    </w:p>
    <w:p>
      <w:pPr>
        <w:spacing w:after="120" w:line="276"/>
      </w:pPr>
      <w:r>
        <w:rPr>
          <w:rFonts w:ascii="Calibri" w:cs="Calibri" w:eastAsia="Calibri" w:hAnsi="Calibri"/>
          <w:color w:val="52514E"/>
          <w:sz w:val="21"/>
          <w:szCs w:val="21"/>
        </w:rPr>
        <w:t xml:space="preserve">Isso não é detalhe metodológico ocioso. Se a diretora perguntar por que a incidência de falta aparece como 45,6% em um lugar e 43,3% em outro, a resposta é essa: a primeira é sobre todos os respondentes, a segunda apenas sobre quem cumpriu a temporada.</w:t>
      </w:r>
    </w:p>
    <w:p>
      <w:pPr>
        <w:pStyle w:val="Heading2"/>
        <w:spacing w:after="120" w:before="260"/>
      </w:pPr>
      <w:r>
        <w:t xml:space="preserve">2.3 Limitações que precisam ser ditas antes dos números</w:t>
      </w:r>
    </w:p>
    <w:p>
      <w:pPr>
        <w:pStyle w:val="ListParagraph"/>
        <w:numPr>
          <w:ilvl w:val="0"/>
          <w:numId w:val="2"/>
        </w:numPr>
        <w:spacing w:after="80" w:line="276"/>
      </w:pPr>
      <w:r>
        <w:rPr>
          <w:rFonts w:ascii="Calibri" w:cs="Calibri" w:eastAsia="Calibri" w:hAnsi="Calibri"/>
          <w:b/>
          <w:bCs/>
          <w:color w:val="0B0B0B"/>
          <w:sz w:val="21"/>
          <w:szCs w:val="21"/>
        </w:rPr>
        <w:t xml:space="preserve">Viés de sobrevivência. </w:t>
      </w:r>
      <w:r>
        <w:rPr>
          <w:rFonts w:ascii="Calibri" w:cs="Calibri" w:eastAsia="Calibri" w:hAnsi="Calibri"/>
          <w:color w:val="0B0B0B"/>
          <w:sz w:val="21"/>
          <w:szCs w:val="21"/>
        </w:rPr>
        <w:t xml:space="preserve">85% das respostas vêm de quem cumpriu a temporada. Quem teve a pior experiência é justamente quem menos responde. Os indicadores de satisfação devem ser lidos como teto, não como média da população.</w:t>
      </w:r>
    </w:p>
    <w:p>
      <w:pPr>
        <w:pStyle w:val="ListParagraph"/>
        <w:numPr>
          <w:ilvl w:val="0"/>
          <w:numId w:val="2"/>
        </w:numPr>
        <w:spacing w:after="80" w:line="276"/>
      </w:pPr>
      <w:r>
        <w:rPr>
          <w:rFonts w:ascii="Calibri" w:cs="Calibri" w:eastAsia="Calibri" w:hAnsi="Calibri"/>
          <w:b/>
          <w:bCs/>
          <w:color w:val="0B0B0B"/>
          <w:sz w:val="21"/>
          <w:szCs w:val="21"/>
        </w:rPr>
        <w:t xml:space="preserve">Grupo de saída pequeno. </w:t>
      </w:r>
      <w:r>
        <w:rPr>
          <w:rFonts w:ascii="Calibri" w:cs="Calibri" w:eastAsia="Calibri" w:hAnsi="Calibri"/>
          <w:color w:val="0B0B0B"/>
          <w:sz w:val="21"/>
          <w:szCs w:val="21"/>
        </w:rPr>
        <w:t xml:space="preserve">17 respostas, das quais só 10 responderam o questionário próprio de saída. Serve para identificar padrão e levantar hipótese; não sustenta percentual apresentado como conclusão.</w:t>
      </w:r>
    </w:p>
    <w:p>
      <w:pPr>
        <w:pStyle w:val="ListParagraph"/>
        <w:numPr>
          <w:ilvl w:val="0"/>
          <w:numId w:val="2"/>
        </w:numPr>
        <w:spacing w:after="80" w:line="276"/>
      </w:pPr>
      <w:r>
        <w:rPr>
          <w:rFonts w:ascii="Calibri" w:cs="Calibri" w:eastAsia="Calibri" w:hAnsi="Calibri"/>
          <w:b/>
          <w:bCs/>
          <w:color w:val="0B0B0B"/>
          <w:sz w:val="21"/>
          <w:szCs w:val="21"/>
        </w:rPr>
        <w:t xml:space="preserve">Autorrelato de falta. </w:t>
      </w:r>
      <w:r>
        <w:rPr>
          <w:rFonts w:ascii="Calibri" w:cs="Calibri" w:eastAsia="Calibri" w:hAnsi="Calibri"/>
          <w:color w:val="0B0B0B"/>
          <w:sz w:val="21"/>
          <w:szCs w:val="21"/>
        </w:rPr>
        <w:t xml:space="preserve">45,6% declararam ter faltado ao menos um dia. O número do ponto e o autorrelato medem coisas diferentes — incidência por pessoa contra taxa por dia — e a comparação entre os dois está na seção 5.3.</w:t>
      </w:r>
    </w:p>
    <w:p>
      <w:pPr>
        <w:pStyle w:val="ListParagraph"/>
        <w:numPr>
          <w:ilvl w:val="0"/>
          <w:numId w:val="2"/>
        </w:numPr>
        <w:spacing w:after="80" w:line="276"/>
      </w:pPr>
      <w:r>
        <w:rPr>
          <w:rFonts w:ascii="Calibri" w:cs="Calibri" w:eastAsia="Calibri" w:hAnsi="Calibri"/>
          <w:b/>
          <w:bCs/>
          <w:color w:val="0B0B0B"/>
          <w:sz w:val="21"/>
          <w:szCs w:val="21"/>
        </w:rPr>
        <w:t xml:space="preserve">Uma pergunta com defeito de opção. </w:t>
      </w:r>
      <w:r>
        <w:rPr>
          <w:rFonts w:ascii="Calibri" w:cs="Calibri" w:eastAsia="Calibri" w:hAnsi="Calibri"/>
          <w:color w:val="0B0B0B"/>
          <w:sz w:val="21"/>
          <w:szCs w:val="21"/>
        </w:rPr>
        <w:t xml:space="preserve">“O que teria ajudado a reduzir as faltas” recebeu 46,3% de “Outro” no total. A causa é de desenho: faltou a alternativa “não faltei nenhum dia” para quem não teve nenhuma ausência. Filtrando apenas quem faltou, “Outro” cai para 34,8% e a leitura passa a fazer sentido. Corrigir na próxima rodada.</w:t>
      </w:r>
    </w:p>
    <w:p>
      <w:r>
        <w:br w:type="page"/>
      </w:r>
    </w:p>
    <w:p>
      <w:pPr>
        <w:pStyle w:val="Heading1"/>
        <w:spacing w:after="160" w:before="320"/>
      </w:pPr>
      <w:r>
        <w:t xml:space="preserve">3. Quem respondeu</w:t>
      </w:r>
    </w:p>
    <w:p>
      <w:pPr>
        <w:spacing w:after="120" w:line="276"/>
      </w:pPr>
      <w:r>
        <w:rPr>
          <w:rFonts w:ascii="Calibri" w:cs="Calibri" w:eastAsia="Calibri" w:hAnsi="Calibri"/>
          <w:i/>
          <w:iCs/>
          <w:color w:val="898781"/>
          <w:sz w:val="21"/>
          <w:szCs w:val="21"/>
        </w:rPr>
        <w:t xml:space="preserve">Base: 114 respostas.</w:t>
      </w:r>
    </w:p>
    <w:tbl>
      <w:tblPr>
        <w:tblW w:type="dxa" w:w="9360"/>
        <w:tblBorders>
          <w:top w:val="single" w:color="D9D8D2" w:sz="2"/>
          <w:left w:val="single" w:color="D9D8D2" w:sz="2"/>
          <w:bottom w:val="single" w:color="D9D8D2" w:sz="2"/>
          <w:right w:val="single" w:color="D9D8D2" w:sz="2"/>
          <w:insideH w:val="single" w:color="EAE9E3" w:sz="2"/>
          <w:insideV w:val="single" w:color="EAE9E3" w:sz="2"/>
        </w:tblBorders>
      </w:tblPr>
      <w:tblGrid>
        <w:gridCol w:w="2200"/>
        <w:gridCol w:w="7160"/>
      </w:tblGrid>
      <w:tr>
        <w:trPr>
          <w:tblHeader/>
        </w:trPr>
        <w:tc>
          <w:tcPr>
            <w:tcW w:type="dxa" w:w="220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Corte</w:t>
            </w:r>
          </w:p>
        </w:tc>
        <w:tc>
          <w:tcPr>
            <w:tcW w:type="dxa" w:w="716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Distribuição</w:t>
            </w:r>
          </w:p>
        </w:tc>
      </w:tr>
      <w:tr>
        <w:tc>
          <w:tcPr>
            <w:tcW w:type="dxa" w:w="22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Função (5 maiores)</w:t>
            </w:r>
          </w:p>
        </w:tc>
        <w:tc>
          <w:tcPr>
            <w:tcW w:type="dxa" w:w="71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Garçom 29,8% · Atendente de Parque 14,0% · Aux. Serviços Gerais / Limpeza 9,6% · Recepcionista de Parques 7,9% · Atendente de Hotelaria 7,0%</w:t>
            </w:r>
          </w:p>
        </w:tc>
      </w:tr>
      <w:tr>
        <w:tc>
          <w:tcPr>
            <w:tcW w:type="dxa" w:w="22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Local de trabalho</w:t>
            </w:r>
          </w:p>
        </w:tc>
        <w:tc>
          <w:tcPr>
            <w:tcW w:type="dxa" w:w="71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Hot Park 21,9% · Pier Point 18,4% · Bares e restaurantes Praia 14,0% · Hotéis/Incasa 12,3% · Recepção Parque 10,5%</w:t>
            </w:r>
          </w:p>
        </w:tc>
      </w:tr>
      <w:tr>
        <w:tc>
          <w:tcPr>
            <w:tcW w:type="dxa" w:w="22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Duração do contrato</w:t>
            </w:r>
          </w:p>
        </w:tc>
        <w:tc>
          <w:tcPr>
            <w:tcW w:type="dxa" w:w="71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De 15 a 30 dias 69,2% · De 1 a 2 meses 16,3% · Mais de 2 meses 8,7% · Menos de 15 dias 5,8% (base 104)</w:t>
            </w:r>
          </w:p>
        </w:tc>
      </w:tr>
      <w:tr>
        <w:tc>
          <w:tcPr>
            <w:tcW w:type="dxa" w:w="22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Moradia</w:t>
            </w:r>
          </w:p>
        </w:tc>
        <w:tc>
          <w:tcPr>
            <w:tcW w:type="dxa" w:w="71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Moram em Rio Quente, Caldas Novas ou Morrinhos 89,5% · Vêm de outra cidade todo dia 10,5%</w:t>
            </w:r>
          </w:p>
        </w:tc>
      </w:tr>
      <w:tr>
        <w:tc>
          <w:tcPr>
            <w:tcW w:type="dxa" w:w="22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Deslocamento</w:t>
            </w:r>
          </w:p>
        </w:tc>
        <w:tc>
          <w:tcPr>
            <w:tcW w:type="dxa" w:w="71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Transporte fretado da empresa 90,4% · Por conta própria 4,4% · Transporte público 3,5% · A pé ou bicicleta 1,8%</w:t>
            </w:r>
          </w:p>
        </w:tc>
      </w:tr>
    </w:tbl>
    <w:p>
      <w:pPr>
        <w:spacing w:after="120" w:line="276"/>
      </w:pPr>
      <w:r>
        <w:rPr>
          <w:rFonts w:ascii="Calibri" w:cs="Calibri" w:eastAsia="Calibri" w:hAnsi="Calibri"/>
          <w:b/>
          <w:bCs/>
          <w:color w:val="0B0B0B"/>
          <w:sz w:val="21"/>
          <w:szCs w:val="21"/>
        </w:rPr>
        <w:t xml:space="preserve">Dois números aqui explicam boa parte do resto do relatório. </w:t>
      </w:r>
      <w:r>
        <w:rPr>
          <w:rFonts w:ascii="Calibri" w:cs="Calibri" w:eastAsia="Calibri" w:hAnsi="Calibri"/>
          <w:color w:val="0B0B0B"/>
          <w:sz w:val="21"/>
          <w:szCs w:val="21"/>
        </w:rPr>
        <w:t xml:space="preserve">90,4% dependem do transporte fretado: quem perde o ônibus não tem plano B, e a falta vira consequência automática de uma falha operacional que não é da pessoa. E 69,2% tiveram contrato de 15 a 30 dias: em um vínculo dessa duração, uma conversa perdida na primeira semana não tem quando ser recuperada.</w:t>
      </w:r>
    </w:p>
    <w:p>
      <w:pPr>
        <w:spacing w:after="120" w:line="276"/>
      </w:pPr>
      <w:r>
        <w:rPr>
          <w:rFonts w:ascii="Calibri" w:cs="Calibri" w:eastAsia="Calibri" w:hAnsi="Calibri"/>
          <w:i/>
          <w:iCs/>
          <w:color w:val="52514E"/>
          <w:sz w:val="21"/>
          <w:szCs w:val="21"/>
        </w:rPr>
        <w:t xml:space="preserve">A amostra também traz respondentes estrangeiros — há respostas em espanhol e nomes de origem haitiana e venezuelana na base de contatos. A pesquisa não perguntou nacionalidade e portanto não é possível quantificar, mas convém considerar versão em espanhol na próxima rodada.</w:t>
      </w:r>
    </w:p>
    <w:p>
      <w:r>
        <w:br w:type="page"/>
      </w:r>
    </w:p>
    <w:p>
      <w:pPr>
        <w:pStyle w:val="Heading1"/>
        <w:spacing w:after="160" w:before="320"/>
      </w:pPr>
      <w:r>
        <w:t xml:space="preserve">4. A entrada no contrato</w:t>
      </w:r>
    </w:p>
    <w:p>
      <w:pPr>
        <w:spacing w:after="120" w:line="276"/>
      </w:pPr>
      <w:r>
        <w:rPr>
          <w:rFonts w:ascii="Calibri" w:cs="Calibri" w:eastAsia="Calibri" w:hAnsi="Calibri"/>
          <w:color w:val="0B0B0B"/>
          <w:sz w:val="21"/>
          <w:szCs w:val="21"/>
        </w:rPr>
        <w:t xml:space="preserve">Base: 104 respostas do questionário longo. Este bloco existia para testar a hipótese de que as saídas precoces vinham de erro de expectativa na contratação. A hipótese não se confirmou.</w:t>
      </w:r>
    </w:p>
    <w:tbl>
      <w:tblPr>
        <w:tblW w:type="dxa" w:w="9360"/>
        <w:tblBorders>
          <w:top w:val="single" w:color="D9D8D2" w:sz="2"/>
          <w:left w:val="single" w:color="D9D8D2" w:sz="2"/>
          <w:bottom w:val="single" w:color="D9D8D2" w:sz="2"/>
          <w:right w:val="single" w:color="D9D8D2" w:sz="2"/>
          <w:insideH w:val="single" w:color="EAE9E3" w:sz="2"/>
          <w:insideV w:val="single" w:color="EAE9E3" w:sz="2"/>
        </w:tblBorders>
      </w:tblPr>
      <w:tblGrid>
        <w:gridCol w:w="3100"/>
        <w:gridCol w:w="3100"/>
        <w:gridCol w:w="3160"/>
      </w:tblGrid>
      <w:tr>
        <w:trPr>
          <w:tblHeader/>
        </w:trPr>
        <w:tc>
          <w:tcPr>
            <w:tcW w:type="dxa" w:w="310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Indicador</w:t>
            </w:r>
          </w:p>
        </w:tc>
        <w:tc>
          <w:tcPr>
            <w:tcW w:type="dxa" w:w="310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Resultado</w:t>
            </w:r>
          </w:p>
        </w:tc>
        <w:tc>
          <w:tcPr>
            <w:tcW w:type="dxa" w:w="316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Leitura</w:t>
            </w:r>
          </w:p>
        </w:tc>
      </w:tr>
      <w:tr>
        <w:tc>
          <w:tcPr>
            <w:tcW w:type="dxa" w:w="31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Recepção no primeiro dia</w:t>
            </w:r>
          </w:p>
        </w:tc>
        <w:tc>
          <w:tcPr>
            <w:tcW w:type="dxa" w:w="31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89,4% deram nota 4 ou 5 (77,9% nota 5)</w:t>
            </w:r>
          </w:p>
        </w:tc>
        <w:tc>
          <w:tcPr>
            <w:tcW w:type="dxa" w:w="31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3,8% deram nota 1 — 4 pessoas</w:t>
            </w:r>
          </w:p>
        </w:tc>
      </w:tr>
      <w:tr>
        <w:tc>
          <w:tcPr>
            <w:tcW w:type="dxa" w:w="31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Clareza do que era esperado</w:t>
            </w:r>
          </w:p>
        </w:tc>
        <w:tc>
          <w:tcPr>
            <w:tcW w:type="dxa" w:w="31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77,9% “sim, totalmente”</w:t>
            </w:r>
          </w:p>
        </w:tc>
        <w:tc>
          <w:tcPr>
            <w:tcW w:type="dxa" w:w="31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6,7% aprenderam sozinhos na prática</w:t>
            </w:r>
          </w:p>
        </w:tc>
      </w:tr>
      <w:tr>
        <w:tc>
          <w:tcPr>
            <w:tcW w:type="dxa" w:w="31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Uniforme, EPI, crachá e material no 1º dia</w:t>
            </w:r>
          </w:p>
        </w:tc>
        <w:tc>
          <w:tcPr>
            <w:tcW w:type="dxa" w:w="31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92,3% “sim, tudo certo”</w:t>
            </w:r>
          </w:p>
        </w:tc>
        <w:tc>
          <w:tcPr>
            <w:tcW w:type="dxa" w:w="31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1 pessoa esperou dias</w:t>
            </w:r>
          </w:p>
        </w:tc>
      </w:tr>
      <w:tr>
        <w:tc>
          <w:tcPr>
            <w:tcW w:type="dxa" w:w="31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Escala cumprida × combinada</w:t>
            </w:r>
          </w:p>
        </w:tc>
        <w:tc>
          <w:tcPr>
            <w:tcW w:type="dxa" w:w="31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84,6% “foi a mesma”</w:t>
            </w:r>
          </w:p>
        </w:tc>
        <w:tc>
          <w:tcPr>
            <w:tcW w:type="dxa" w:w="31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1 pessoa relatou mudança grande</w:t>
            </w:r>
          </w:p>
        </w:tc>
      </w:tr>
    </w:tbl>
    <w:p>
      <w:pPr>
        <w:pBdr>
          <w:left w:val="single" w:color="0C7A3E" w:sz="18" w:space="8"/>
        </w:pBdr>
        <w:shd w:fill="F4F6F9" w:color="auto" w:val="clear"/>
        <w:spacing w:after="60" w:before="220"/>
        <w:ind w:left="200"/>
      </w:pPr>
      <w:r>
        <w:rPr>
          <w:rFonts w:ascii="Calibri" w:cs="Calibri" w:eastAsia="Calibri" w:hAnsi="Calibri"/>
          <w:b/>
          <w:bCs/>
          <w:color w:val="0C7A3E"/>
          <w:sz w:val="21"/>
          <w:szCs w:val="21"/>
        </w:rPr>
        <w:t xml:space="preserve">O que isso permite afirmar ao cliente</w:t>
      </w:r>
    </w:p>
    <w:p>
      <w:pPr>
        <w:pBdr>
          <w:left w:val="single" w:color="0C7A3E" w:sz="18" w:space="8"/>
        </w:pBdr>
        <w:shd w:fill="F4F6F9" w:color="auto" w:val="clear"/>
        <w:spacing w:after="220" w:before="0" w:line="276"/>
        <w:ind w:left="200"/>
      </w:pPr>
      <w:r>
        <w:rPr>
          <w:rFonts w:ascii="Calibri" w:cs="Calibri" w:eastAsia="Calibri" w:hAnsi="Calibri"/>
          <w:color w:val="52514E"/>
          <w:sz w:val="20"/>
          <w:szCs w:val="20"/>
        </w:rPr>
        <w:t xml:space="preserve">A porta de entrada está funcionando. Recepção, briefing, entrega de material e cumprimento da escala combinada estão todos acima de 77% de aprovação plena. As saídas precoces documentadas na seção 7 não são causadas por promessa não cumprida na contratação — o que desloca a discussão para o acompanhamento pós-admissão, que é o ponto fraco real.</w:t>
      </w:r>
    </w:p>
    <w:p>
      <w:pPr>
        <w:pStyle w:val="Heading2"/>
        <w:spacing w:after="120" w:before="260"/>
      </w:pPr>
      <w:r>
        <w:t xml:space="preserve">4.1 O que pesou no dia a dia</w:t>
      </w:r>
    </w:p>
    <w:p>
      <w:pPr>
        <w:spacing w:after="120" w:line="276"/>
      </w:pPr>
      <w:r>
        <w:rPr>
          <w:rFonts w:ascii="Calibri" w:cs="Calibri" w:eastAsia="Calibri" w:hAnsi="Calibri"/>
          <w:i/>
          <w:iCs/>
          <w:color w:val="898781"/>
          <w:sz w:val="21"/>
          <w:szCs w:val="21"/>
        </w:rPr>
        <w:t xml:space="preserve">Múltipla escolha, até 3 marcações, base 103.</w:t>
      </w:r>
    </w:p>
    <w:tbl>
      <w:tblPr>
        <w:tblW w:type="dxa" w:w="9360"/>
        <w:tblBorders>
          <w:top w:val="single" w:color="D9D8D2" w:sz="2"/>
          <w:left w:val="single" w:color="D9D8D2" w:sz="2"/>
          <w:bottom w:val="single" w:color="D9D8D2" w:sz="2"/>
          <w:right w:val="single" w:color="D9D8D2" w:sz="2"/>
          <w:insideH w:val="single" w:color="EAE9E3" w:sz="2"/>
          <w:insideV w:val="single" w:color="EAE9E3" w:sz="2"/>
        </w:tblBorders>
      </w:tblPr>
      <w:tblGrid>
        <w:gridCol w:w="5360"/>
        <w:gridCol w:w="2000"/>
        <w:gridCol w:w="2000"/>
      </w:tblGrid>
      <w:tr>
        <w:trPr>
          <w:tblHeader/>
        </w:trPr>
        <w:tc>
          <w:tcPr>
            <w:tcW w:type="dxa" w:w="536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O que mais pesou</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Citações</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Nada pesou de forma relevante</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41</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39,8%</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Ficar muito tempo em pé</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32</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31,1%</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Calor e sol</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32</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31,1%</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Ritmo e volume de trabalho</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16</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15,5%</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Escala (dias e horários)</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11</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10,7%</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Poucas folgas</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10</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9,7%</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Tratamento de colegas ou da liderança</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8</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7,8%</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Alimentação</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6</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5,8%</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Transporte</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5</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4,9%</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Falta de material ou equipamento</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2,9%</w:t>
            </w:r>
          </w:p>
        </w:tc>
      </w:tr>
    </w:tbl>
    <w:p>
      <w:pPr>
        <w:spacing w:after="120" w:line="276"/>
      </w:pPr>
      <w:r>
        <w:rPr>
          <w:rFonts w:ascii="Calibri" w:cs="Calibri" w:eastAsia="Calibri" w:hAnsi="Calibri"/>
          <w:color w:val="0B0B0B"/>
          <w:sz w:val="21"/>
          <w:szCs w:val="21"/>
        </w:rPr>
        <w:t xml:space="preserve">Quatro em cada dez dizem que nada pesou de forma relevante. O que pesa, quando pesa, é carga física — tempo em pé e calor — e não gestão. Tratamento da liderança e falta de material ficam no rodapé.</w:t>
      </w:r>
    </w:p>
    <w:p>
      <w:r>
        <w:br w:type="page"/>
      </w:r>
    </w:p>
    <w:p>
      <w:pPr>
        <w:pStyle w:val="Heading1"/>
        <w:spacing w:after="160" w:before="320"/>
      </w:pPr>
      <w:r>
        <w:t xml:space="preserve">5. O absenteísmo, visto por dentro</w:t>
      </w:r>
    </w:p>
    <w:p>
      <w:pPr>
        <w:pStyle w:val="Heading2"/>
        <w:spacing w:after="120" w:before="260"/>
      </w:pPr>
      <w:r>
        <w:t xml:space="preserve">5.1 Incidência declarada</w:t>
      </w:r>
    </w:p>
    <w:p>
      <w:pPr>
        <w:spacing w:after="120" w:line="276"/>
      </w:pPr>
      <w:r>
        <w:rPr>
          <w:rFonts w:ascii="Calibri" w:cs="Calibri" w:eastAsia="Calibri" w:hAnsi="Calibri"/>
          <w:i/>
          <w:iCs/>
          <w:color w:val="898781"/>
          <w:sz w:val="21"/>
          <w:szCs w:val="21"/>
        </w:rPr>
        <w:t xml:space="preserve">Base: 114 respostas.</w:t>
      </w:r>
    </w:p>
    <w:tbl>
      <w:tblPr>
        <w:tblW w:type="dxa" w:w="9360"/>
        <w:tblBorders>
          <w:top w:val="single" w:color="D9D8D2" w:sz="2"/>
          <w:left w:val="single" w:color="D9D8D2" w:sz="2"/>
          <w:bottom w:val="single" w:color="D9D8D2" w:sz="2"/>
          <w:right w:val="single" w:color="D9D8D2" w:sz="2"/>
          <w:insideH w:val="single" w:color="EAE9E3" w:sz="2"/>
          <w:insideV w:val="single" w:color="EAE9E3" w:sz="2"/>
        </w:tblBorders>
      </w:tblPr>
      <w:tblGrid>
        <w:gridCol w:w="5360"/>
        <w:gridCol w:w="2000"/>
        <w:gridCol w:w="2000"/>
      </w:tblGrid>
      <w:tr>
        <w:trPr>
          <w:tblHeader/>
        </w:trPr>
        <w:tc>
          <w:tcPr>
            <w:tcW w:type="dxa" w:w="536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Faltas declaradas</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Respostas</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Não faltei nenhum dia</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59</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51,8%</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Faltei 1 dia</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26</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22,8%</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Faltei 2 ou 3 dias</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18</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15,8%</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Faltei mais de 3 dias</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8</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7,0%</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Prefiro não dizer</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2,6%</w:t>
            </w:r>
          </w:p>
        </w:tc>
      </w:tr>
    </w:tbl>
    <w:p>
      <w:pPr>
        <w:spacing w:after="120" w:line="276"/>
      </w:pPr>
      <w:r>
        <w:rPr>
          <w:rFonts w:ascii="Calibri" w:cs="Calibri" w:eastAsia="Calibri" w:hAnsi="Calibri"/>
          <w:color w:val="0B0B0B"/>
          <w:sz w:val="21"/>
          <w:szCs w:val="21"/>
        </w:rPr>
        <w:t xml:space="preserve">52 das 114 pessoas — 45,6% — faltaram ao menos um dia. A incidência é maior entre quem saiu antes do fim (58,8%) do que entre quem cumpriu a temporada (43,3%), o que é coerente com a cadeia de eventos descrita na seção 7. E 22,8% da amostra respondem por duas ou mais ausências: são eles que produzem o grosso da curva do dashboard.</w:t>
      </w:r>
    </w:p>
    <w:p>
      <w:pPr>
        <w:pStyle w:val="Heading2"/>
        <w:spacing w:after="120" w:before="260"/>
      </w:pPr>
      <w:r>
        <w:t xml:space="preserve">5.2 Causa da falta — apenas entre quem faltou (n = 52)</w:t>
      </w:r>
    </w:p>
    <w:tbl>
      <w:tblPr>
        <w:tblW w:type="dxa" w:w="9360"/>
        <w:tblBorders>
          <w:top w:val="single" w:color="D9D8D2" w:sz="2"/>
          <w:left w:val="single" w:color="D9D8D2" w:sz="2"/>
          <w:bottom w:val="single" w:color="D9D8D2" w:sz="2"/>
          <w:right w:val="single" w:color="D9D8D2" w:sz="2"/>
          <w:insideH w:val="single" w:color="EAE9E3" w:sz="2"/>
          <w:insideV w:val="single" w:color="EAE9E3" w:sz="2"/>
        </w:tblBorders>
      </w:tblPr>
      <w:tblGrid>
        <w:gridCol w:w="4360"/>
        <w:gridCol w:w="1500"/>
        <w:gridCol w:w="1750"/>
        <w:gridCol w:w="1750"/>
      </w:tblGrid>
      <w:tr>
        <w:trPr>
          <w:tblHeader/>
        </w:trPr>
        <w:tc>
          <w:tcPr>
            <w:tcW w:type="dxa" w:w="436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Causa</w:t>
            </w:r>
          </w:p>
        </w:tc>
        <w:tc>
          <w:tcPr>
            <w:tcW w:type="dxa" w:w="15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Citações</w:t>
            </w:r>
          </w:p>
        </w:tc>
        <w:tc>
          <w:tcPr>
            <w:tcW w:type="dxa" w:w="175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 de quem faltou</w:t>
            </w:r>
          </w:p>
        </w:tc>
        <w:tc>
          <w:tcPr>
            <w:tcW w:type="dxa" w:w="175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 das citações</w:t>
            </w:r>
          </w:p>
        </w:tc>
      </w:tr>
      <w:tr>
        <w:tc>
          <w:tcPr>
            <w:tcW w:type="dxa" w:w="4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Problema de saúde</w:t>
            </w:r>
          </w:p>
        </w:tc>
        <w:tc>
          <w:tcPr>
            <w:tcW w:type="dxa" w:w="15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25</w:t>
            </w:r>
          </w:p>
        </w:tc>
        <w:tc>
          <w:tcPr>
            <w:tcW w:type="dxa" w:w="175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48,1%</w:t>
            </w:r>
          </w:p>
        </w:tc>
        <w:tc>
          <w:tcPr>
            <w:tcW w:type="dxa" w:w="175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29,1%</w:t>
            </w:r>
          </w:p>
        </w:tc>
      </w:tr>
      <w:tr>
        <w:tc>
          <w:tcPr>
            <w:tcW w:type="dxa" w:w="4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Transporte — não consegui chegar</w:t>
            </w:r>
          </w:p>
        </w:tc>
        <w:tc>
          <w:tcPr>
            <w:tcW w:type="dxa" w:w="15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16</w:t>
            </w:r>
          </w:p>
        </w:tc>
        <w:tc>
          <w:tcPr>
            <w:tcW w:type="dxa" w:w="175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30,8%</w:t>
            </w:r>
          </w:p>
        </w:tc>
        <w:tc>
          <w:tcPr>
            <w:tcW w:type="dxa" w:w="175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18,6%</w:t>
            </w:r>
          </w:p>
        </w:tc>
      </w:tr>
      <w:tr>
        <w:tc>
          <w:tcPr>
            <w:tcW w:type="dxa" w:w="4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Cansaço físico acumulado</w:t>
            </w:r>
          </w:p>
        </w:tc>
        <w:tc>
          <w:tcPr>
            <w:tcW w:type="dxa" w:w="15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15</w:t>
            </w:r>
          </w:p>
        </w:tc>
        <w:tc>
          <w:tcPr>
            <w:tcW w:type="dxa" w:w="175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28,8%</w:t>
            </w:r>
          </w:p>
        </w:tc>
        <w:tc>
          <w:tcPr>
            <w:tcW w:type="dxa" w:w="175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17,4%</w:t>
            </w:r>
          </w:p>
        </w:tc>
      </w:tr>
      <w:tr>
        <w:tc>
          <w:tcPr>
            <w:tcW w:type="dxa" w:w="4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Problema em casa ou com filhos</w:t>
            </w:r>
          </w:p>
        </w:tc>
        <w:tc>
          <w:tcPr>
            <w:tcW w:type="dxa" w:w="15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10</w:t>
            </w:r>
          </w:p>
        </w:tc>
        <w:tc>
          <w:tcPr>
            <w:tcW w:type="dxa" w:w="175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19,2%</w:t>
            </w:r>
          </w:p>
        </w:tc>
        <w:tc>
          <w:tcPr>
            <w:tcW w:type="dxa" w:w="175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11,6%</w:t>
            </w:r>
          </w:p>
        </w:tc>
      </w:tr>
      <w:tr>
        <w:tc>
          <w:tcPr>
            <w:tcW w:type="dxa" w:w="4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Não sei dizer</w:t>
            </w:r>
          </w:p>
        </w:tc>
        <w:tc>
          <w:tcPr>
            <w:tcW w:type="dxa" w:w="15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8</w:t>
            </w:r>
          </w:p>
        </w:tc>
        <w:tc>
          <w:tcPr>
            <w:tcW w:type="dxa" w:w="175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15,4%</w:t>
            </w:r>
          </w:p>
        </w:tc>
        <w:tc>
          <w:tcPr>
            <w:tcW w:type="dxa" w:w="175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9,3%</w:t>
            </w:r>
          </w:p>
        </w:tc>
      </w:tr>
      <w:tr>
        <w:tc>
          <w:tcPr>
            <w:tcW w:type="dxa" w:w="4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Escala em domingo ou feriado</w:t>
            </w:r>
          </w:p>
        </w:tc>
        <w:tc>
          <w:tcPr>
            <w:tcW w:type="dxa" w:w="15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w:t>
            </w:r>
          </w:p>
        </w:tc>
        <w:tc>
          <w:tcPr>
            <w:tcW w:type="dxa" w:w="175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5,8%</w:t>
            </w:r>
          </w:p>
        </w:tc>
        <w:tc>
          <w:tcPr>
            <w:tcW w:type="dxa" w:w="175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3,5%</w:t>
            </w:r>
          </w:p>
        </w:tc>
      </w:tr>
      <w:tr>
        <w:tc>
          <w:tcPr>
            <w:tcW w:type="dxa" w:w="4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Desânimo com o trabalho</w:t>
            </w:r>
          </w:p>
        </w:tc>
        <w:tc>
          <w:tcPr>
            <w:tcW w:type="dxa" w:w="15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w:t>
            </w:r>
          </w:p>
        </w:tc>
        <w:tc>
          <w:tcPr>
            <w:tcW w:type="dxa" w:w="175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5,8%</w:t>
            </w:r>
          </w:p>
        </w:tc>
        <w:tc>
          <w:tcPr>
            <w:tcW w:type="dxa" w:w="175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3,5%</w:t>
            </w:r>
          </w:p>
        </w:tc>
      </w:tr>
      <w:tr>
        <w:tc>
          <w:tcPr>
            <w:tcW w:type="dxa" w:w="4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Trabalho pesado demais para o valor pago</w:t>
            </w:r>
          </w:p>
        </w:tc>
        <w:tc>
          <w:tcPr>
            <w:tcW w:type="dxa" w:w="15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w:t>
            </w:r>
          </w:p>
        </w:tc>
        <w:tc>
          <w:tcPr>
            <w:tcW w:type="dxa" w:w="175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5,8%</w:t>
            </w:r>
          </w:p>
        </w:tc>
        <w:tc>
          <w:tcPr>
            <w:tcW w:type="dxa" w:w="175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3,5%</w:t>
            </w:r>
          </w:p>
        </w:tc>
      </w:tr>
      <w:tr>
        <w:tc>
          <w:tcPr>
            <w:tcW w:type="dxa" w:w="4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Outro trabalho ou bico no mesmo dia</w:t>
            </w:r>
          </w:p>
        </w:tc>
        <w:tc>
          <w:tcPr>
            <w:tcW w:type="dxa" w:w="15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w:t>
            </w:r>
          </w:p>
        </w:tc>
        <w:tc>
          <w:tcPr>
            <w:tcW w:type="dxa" w:w="175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5,8%</w:t>
            </w:r>
          </w:p>
        </w:tc>
        <w:tc>
          <w:tcPr>
            <w:tcW w:type="dxa" w:w="175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3,5%</w:t>
            </w:r>
          </w:p>
        </w:tc>
      </w:tr>
    </w:tbl>
    <w:p>
      <w:pPr>
        <w:spacing w:after="120" w:line="276"/>
      </w:pPr>
      <w:r>
        <w:rPr>
          <w:rFonts w:ascii="Calibri" w:cs="Calibri" w:eastAsia="Calibri" w:hAnsi="Calibri"/>
          <w:b/>
          <w:bCs/>
          <w:color w:val="0B0B0B"/>
          <w:sz w:val="21"/>
          <w:szCs w:val="21"/>
        </w:rPr>
        <w:t xml:space="preserve">Some as três primeiras e some as três últimas. </w:t>
      </w:r>
      <w:r>
        <w:rPr>
          <w:rFonts w:ascii="Calibri" w:cs="Calibri" w:eastAsia="Calibri" w:hAnsi="Calibri"/>
          <w:color w:val="0B0B0B"/>
          <w:sz w:val="21"/>
          <w:szCs w:val="21"/>
        </w:rPr>
        <w:t xml:space="preserve">Saúde, transporte e cansaço concentram 65% de todas as citações. Desânimo, bico e trabalho pesado demais para o valor pago — as três causas que a operação costuma presumir — somam 10,5%. A leitura corrente de que “o temporário falta porque não está comprometido” não se sustenta nesta base.</w:t>
      </w:r>
    </w:p>
    <w:p>
      <w:pPr>
        <w:pBdr>
          <w:left w:val="single" w:color="8A5A00" w:sz="18" w:space="8"/>
        </w:pBdr>
        <w:shd w:fill="F4F6F9" w:color="auto" w:val="clear"/>
        <w:spacing w:after="60" w:before="220"/>
        <w:ind w:left="200"/>
      </w:pPr>
      <w:r>
        <w:rPr>
          <w:rFonts w:ascii="Calibri" w:cs="Calibri" w:eastAsia="Calibri" w:hAnsi="Calibri"/>
          <w:b/>
          <w:bCs/>
          <w:color w:val="8A5A00"/>
          <w:sz w:val="21"/>
          <w:szCs w:val="21"/>
        </w:rPr>
        <w:t xml:space="preserve">Transporte é a causa que a Mendes RH e a Aviva controlam sozinhas</w:t>
      </w:r>
    </w:p>
    <w:p>
      <w:pPr>
        <w:pBdr>
          <w:left w:val="single" w:color="8A5A00" w:sz="18" w:space="8"/>
        </w:pBdr>
        <w:shd w:fill="F4F6F9" w:color="auto" w:val="clear"/>
        <w:spacing w:after="220" w:before="0" w:line="276"/>
        <w:ind w:left="200"/>
      </w:pPr>
      <w:r>
        <w:rPr>
          <w:rFonts w:ascii="Calibri" w:cs="Calibri" w:eastAsia="Calibri" w:hAnsi="Calibri"/>
          <w:color w:val="52514E"/>
          <w:sz w:val="20"/>
          <w:szCs w:val="20"/>
        </w:rPr>
        <w:t xml:space="preserve">30,8% de quem faltou não conseguiu chegar ao trabalho, em uma população onde 90,4% dependem exclusivamente do fretado. Diferente de saúde e de problema familiar, esta é uma causa inteiramente interna: rota, horário, capacidade e estado dos veículos. Os comentários abertos convergem para o mesmo ponto.</w:t>
      </w:r>
    </w:p>
    <w:p>
      <w:pPr>
        <w:spacing w:after="100" w:before="60" w:line="264"/>
        <w:ind w:left="340"/>
      </w:pPr>
      <w:r>
        <w:rPr>
          <w:rFonts w:ascii="Calibri" w:cs="Calibri" w:eastAsia="Calibri" w:hAnsi="Calibri"/>
          <w:i/>
          <w:iCs/>
          <w:color w:val="52514E"/>
          <w:sz w:val="19"/>
          <w:szCs w:val="19"/>
        </w:rPr>
        <w:t xml:space="preserve">“Seria bom demais ter um ônibus exclusivo para os recepcionistas, pois muitas das vezes chegamos tarde em casa.”</w:t>
      </w:r>
    </w:p>
    <w:p>
      <w:pPr>
        <w:spacing w:after="100" w:before="60" w:line="264"/>
        <w:ind w:left="340"/>
      </w:pPr>
      <w:r>
        <w:rPr>
          <w:rFonts w:ascii="Calibri" w:cs="Calibri" w:eastAsia="Calibri" w:hAnsi="Calibri"/>
          <w:i/>
          <w:iCs/>
          <w:color w:val="52514E"/>
          <w:sz w:val="19"/>
          <w:szCs w:val="19"/>
        </w:rPr>
        <w:t xml:space="preserve">“Melhorar a comida e arrumar alguns meios de transporte, que sempre está com bancos estragados.”</w:t>
      </w:r>
    </w:p>
    <w:p>
      <w:pPr>
        <w:spacing w:after="100" w:before="60" w:line="264"/>
        <w:ind w:left="340"/>
      </w:pPr>
      <w:r>
        <w:rPr>
          <w:rFonts w:ascii="Calibri" w:cs="Calibri" w:eastAsia="Calibri" w:hAnsi="Calibri"/>
          <w:i/>
          <w:iCs/>
          <w:color w:val="52514E"/>
          <w:sz w:val="19"/>
          <w:szCs w:val="19"/>
        </w:rPr>
        <w:t xml:space="preserve">“Mais controle no transporte da empresa. Após um dia cansativo muitas das vezes lidamos com funcionários fazendo baderna no ônibus ou usando algo ilícito no transporte.”</w:t>
      </w:r>
    </w:p>
    <w:p>
      <w:pPr>
        <w:spacing w:after="100" w:before="60" w:line="264"/>
        <w:ind w:left="340"/>
      </w:pPr>
      <w:r>
        <w:rPr>
          <w:rFonts w:ascii="Calibri" w:cs="Calibri" w:eastAsia="Calibri" w:hAnsi="Calibri"/>
          <w:i/>
          <w:iCs/>
          <w:color w:val="52514E"/>
          <w:sz w:val="19"/>
          <w:szCs w:val="19"/>
        </w:rPr>
        <w:t xml:space="preserve">“Pagar pelas horas perdidas no transporte.”</w:t>
      </w:r>
    </w:p>
    <w:p>
      <w:pPr>
        <w:pStyle w:val="Heading2"/>
        <w:spacing w:after="120" w:before="260"/>
      </w:pPr>
      <w:r>
        <w:t xml:space="preserve">5.3 Autorrelato contra o registro de ponto</w:t>
      </w:r>
    </w:p>
    <w:p>
      <w:pPr>
        <w:spacing w:after="120" w:line="276"/>
      </w:pPr>
      <w:r>
        <w:rPr>
          <w:rFonts w:ascii="Calibri" w:cs="Calibri" w:eastAsia="Calibri" w:hAnsi="Calibri"/>
          <w:color w:val="0B0B0B"/>
          <w:sz w:val="21"/>
          <w:szCs w:val="21"/>
        </w:rPr>
        <w:t xml:space="preserve">O dashboard da temporada registra 586 faltas em 3.302 vagas-dia contratadas, ou 14,05%. A pesquisa registra 45,6% de pessoas com ao menos uma ausência. Os dois números são compatíveis e medem coisas diferentes: um é taxa por dia trabalhado, o outro é incidência por pessoa ao longo de todo o contrato.</w:t>
      </w:r>
    </w:p>
    <w:p>
      <w:pPr>
        <w:spacing w:after="120" w:line="276"/>
      </w:pPr>
      <w:r>
        <w:rPr>
          <w:rFonts w:ascii="Calibri" w:cs="Calibri" w:eastAsia="Calibri" w:hAnsi="Calibri"/>
          <w:color w:val="0B0B0B"/>
          <w:sz w:val="21"/>
          <w:szCs w:val="21"/>
        </w:rPr>
        <w:t xml:space="preserve">A checagem que importa é outra. Se quase metade das pessoas falta ao menos uma vez, a falta não é comportamento de um subgrupo desviante — é evento comum, que atinge boa parte do quadro em algum momento. Isso muda a resposta gerencial: política de exceção não resolve; o que resolve é reduzir a probabilidade do evento para todo mundo.</w:t>
      </w:r>
    </w:p>
    <w:p>
      <w:pPr>
        <w:pStyle w:val="Heading2"/>
        <w:spacing w:after="120" w:before="260"/>
      </w:pPr>
      <w:r>
        <w:t xml:space="preserve">5.4 O que teria reduzido as faltas — entre quem faltou (n = 46)</w:t>
      </w:r>
    </w:p>
    <w:p>
      <w:pPr>
        <w:spacing w:after="120" w:line="276"/>
      </w:pPr>
      <w:r>
        <w:rPr>
          <w:rFonts w:ascii="Calibri" w:cs="Calibri" w:eastAsia="Calibri" w:hAnsi="Calibri"/>
          <w:i/>
          <w:iCs/>
          <w:color w:val="898781"/>
          <w:sz w:val="21"/>
          <w:szCs w:val="21"/>
        </w:rPr>
        <w:t xml:space="preserve">Pergunta exclusiva do questionário longo.</w:t>
      </w:r>
    </w:p>
    <w:tbl>
      <w:tblPr>
        <w:tblW w:type="dxa" w:w="9360"/>
        <w:tblBorders>
          <w:top w:val="single" w:color="D9D8D2" w:sz="2"/>
          <w:left w:val="single" w:color="D9D8D2" w:sz="2"/>
          <w:bottom w:val="single" w:color="D9D8D2" w:sz="2"/>
          <w:right w:val="single" w:color="D9D8D2" w:sz="2"/>
          <w:insideH w:val="single" w:color="EAE9E3" w:sz="2"/>
          <w:insideV w:val="single" w:color="EAE9E3" w:sz="2"/>
        </w:tblBorders>
      </w:tblPr>
      <w:tblGrid>
        <w:gridCol w:w="5360"/>
        <w:gridCol w:w="2000"/>
        <w:gridCol w:w="2000"/>
      </w:tblGrid>
      <w:tr>
        <w:trPr>
          <w:tblHeader/>
        </w:trPr>
        <w:tc>
          <w:tcPr>
            <w:tcW w:type="dxa" w:w="536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Alavanca</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Citações</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Mais folgas</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18</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39,1%</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Outro</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16</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34,8%</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Pagamento maior</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10</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21,7%</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Escala mais previsível</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8</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17,4%</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Bônus por assiduidade</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7</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15,2%</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Reconhecimento da liderança</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5</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10,9%</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Transporte garantido</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6,5%</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Alimentação melhor</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4,3%</w:t>
            </w:r>
          </w:p>
        </w:tc>
      </w:tr>
    </w:tbl>
    <w:p>
      <w:pPr>
        <w:spacing w:after="120" w:line="276"/>
      </w:pPr>
      <w:r>
        <w:rPr>
          <w:rFonts w:ascii="Calibri" w:cs="Calibri" w:eastAsia="Calibri" w:hAnsi="Calibri"/>
          <w:b/>
          <w:bCs/>
          <w:color w:val="0B0B0B"/>
          <w:sz w:val="21"/>
          <w:szCs w:val="21"/>
        </w:rPr>
        <w:t xml:space="preserve">Atenção à divergência entre causa e alavanca. </w:t>
      </w:r>
      <w:r>
        <w:rPr>
          <w:rFonts w:ascii="Calibri" w:cs="Calibri" w:eastAsia="Calibri" w:hAnsi="Calibri"/>
          <w:color w:val="0B0B0B"/>
          <w:sz w:val="21"/>
          <w:szCs w:val="21"/>
        </w:rPr>
        <w:t xml:space="preserve">Transporte é a segunda maior causa de falta (30,8%) e a penúltima alavanca escolhida (6,5%). Isso não invalida nenhum dos dois: quem falta por transporte tende a atribuir o problema ao acaso e a pedir aquilo que sente como direito — folga e pagamento. A decisão gerencial deve seguir a causa, não a alavanca declarada.</w:t>
      </w:r>
    </w:p>
    <w:p>
      <w:r>
        <w:br w:type="page"/>
      </w:r>
    </w:p>
    <w:p>
      <w:pPr>
        <w:pStyle w:val="Heading1"/>
        <w:spacing w:after="160" w:before="320"/>
      </w:pPr>
      <w:r>
        <w:t xml:space="preserve">6. Os cruzamentos que separam comportamento</w:t>
      </w:r>
    </w:p>
    <w:p>
      <w:pPr>
        <w:spacing w:after="120" w:line="276"/>
      </w:pPr>
      <w:r>
        <w:rPr>
          <w:rFonts w:ascii="Calibri" w:cs="Calibri" w:eastAsia="Calibri" w:hAnsi="Calibri"/>
          <w:color w:val="0B0B0B"/>
          <w:sz w:val="21"/>
          <w:szCs w:val="21"/>
        </w:rPr>
        <w:t xml:space="preserve">Base: 104 respostas do questionário longo. Os cruzamentos abaixo são a parte mais útil da pesquisa. Não descrevem opinião — separam grupos que se comportaram de forma diferente.</w:t>
      </w:r>
    </w:p>
    <w:p>
      <w:pPr>
        <w:pBdr>
          <w:left w:val="single" w:color="1C5CAB" w:sz="18" w:space="8"/>
        </w:pBdr>
        <w:shd w:fill="EAF2FD" w:color="auto" w:val="clear"/>
        <w:spacing w:after="130" w:before="260"/>
        <w:ind w:left="200"/>
      </w:pPr>
      <w:r>
        <w:rPr>
          <w:rFonts w:ascii="Calibri" w:cs="Calibri" w:eastAsia="Calibri" w:hAnsi="Calibri"/>
          <w:b/>
          <w:bCs/>
          <w:color w:val="0D366B"/>
          <w:sz w:val="21"/>
          <w:szCs w:val="21"/>
        </w:rPr>
        <w:t xml:space="preserve">Preditor 1 — sentir-se à vontade para falar quando algo está errado</w:t>
      </w:r>
    </w:p>
    <w:tbl>
      <w:tblPr>
        <w:tblW w:type="dxa" w:w="9360"/>
        <w:tblBorders>
          <w:top w:val="single" w:color="D9D8D2" w:sz="2"/>
          <w:left w:val="single" w:color="D9D8D2" w:sz="2"/>
          <w:bottom w:val="single" w:color="D9D8D2" w:sz="2"/>
          <w:right w:val="single" w:color="D9D8D2" w:sz="2"/>
          <w:insideH w:val="single" w:color="EAE9E3" w:sz="2"/>
          <w:insideV w:val="single" w:color="EAE9E3" w:sz="2"/>
        </w:tblBorders>
      </w:tblPr>
      <w:tblGrid>
        <w:gridCol w:w="4360"/>
        <w:gridCol w:w="1000"/>
        <w:gridCol w:w="2000"/>
        <w:gridCol w:w="2000"/>
      </w:tblGrid>
      <w:tr>
        <w:trPr>
          <w:tblHeader/>
        </w:trPr>
        <w:tc>
          <w:tcPr>
            <w:tcW w:type="dxa" w:w="436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“Você se sentiu à vontade para falar quando algo estava errado?”</w:t>
            </w:r>
          </w:p>
        </w:tc>
        <w:tc>
          <w:tcPr>
            <w:tcW w:type="dxa" w:w="1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n</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Faltou ao menos 1 dia</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Pensou em sair</w:t>
            </w:r>
          </w:p>
        </w:tc>
      </w:tr>
      <w:tr>
        <w:tc>
          <w:tcPr>
            <w:tcW w:type="dxa" w:w="4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Sim</w:t>
            </w:r>
          </w:p>
        </w:tc>
        <w:tc>
          <w:tcPr>
            <w:tcW w:type="dxa" w:w="1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69</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36%</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16%</w:t>
            </w:r>
          </w:p>
        </w:tc>
      </w:tr>
      <w:tr>
        <w:tc>
          <w:tcPr>
            <w:tcW w:type="dxa" w:w="4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Mais ou menos</w:t>
            </w:r>
          </w:p>
        </w:tc>
        <w:tc>
          <w:tcPr>
            <w:tcW w:type="dxa" w:w="1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25</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64%</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60%</w:t>
            </w:r>
          </w:p>
        </w:tc>
      </w:tr>
      <w:tr>
        <w:tc>
          <w:tcPr>
            <w:tcW w:type="dxa" w:w="4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Não</w:t>
            </w:r>
          </w:p>
        </w:tc>
        <w:tc>
          <w:tcPr>
            <w:tcW w:type="dxa" w:w="1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10</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70%</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40%</w:t>
            </w:r>
          </w:p>
        </w:tc>
      </w:tr>
    </w:tbl>
    <w:p>
      <w:pPr>
        <w:spacing w:after="120" w:line="276"/>
      </w:pPr>
      <w:r>
        <w:rPr>
          <w:rFonts w:ascii="Calibri" w:cs="Calibri" w:eastAsia="Calibri" w:hAnsi="Calibri"/>
          <w:color w:val="0B0B0B"/>
          <w:sz w:val="21"/>
          <w:szCs w:val="21"/>
        </w:rPr>
        <w:t xml:space="preserve">A taxa de falta quase dobra entre quem tem voz e quem não tem. A intenção de sair quase quadruplica entre “sim” e “mais ou menos”. E 33,6% da amostra está fora do “sim”.</w:t>
      </w:r>
    </w:p>
    <w:p>
      <w:pPr>
        <w:pBdr>
          <w:left w:val="single" w:color="1C5CAB" w:sz="18" w:space="8"/>
        </w:pBdr>
        <w:shd w:fill="EAF2FD" w:color="auto" w:val="clear"/>
        <w:spacing w:after="130" w:before="260"/>
        <w:ind w:left="200"/>
      </w:pPr>
      <w:r>
        <w:rPr>
          <w:rFonts w:ascii="Calibri" w:cs="Calibri" w:eastAsia="Calibri" w:hAnsi="Calibri"/>
          <w:b/>
          <w:bCs/>
          <w:color w:val="0D366B"/>
          <w:sz w:val="21"/>
          <w:szCs w:val="21"/>
        </w:rPr>
        <w:t xml:space="preserve">Preditor 2 — erro ou atraso no pagamento</w:t>
      </w:r>
    </w:p>
    <w:tbl>
      <w:tblPr>
        <w:tblW w:type="dxa" w:w="9360"/>
        <w:tblBorders>
          <w:top w:val="single" w:color="D9D8D2" w:sz="2"/>
          <w:left w:val="single" w:color="D9D8D2" w:sz="2"/>
          <w:bottom w:val="single" w:color="D9D8D2" w:sz="2"/>
          <w:right w:val="single" w:color="D9D8D2" w:sz="2"/>
          <w:insideH w:val="single" w:color="EAE9E3" w:sz="2"/>
          <w:insideV w:val="single" w:color="EAE9E3" w:sz="2"/>
        </w:tblBorders>
      </w:tblPr>
      <w:tblGrid>
        <w:gridCol w:w="4360"/>
        <w:gridCol w:w="1000"/>
        <w:gridCol w:w="2000"/>
        <w:gridCol w:w="2000"/>
      </w:tblGrid>
      <w:tr>
        <w:trPr>
          <w:tblHeader/>
        </w:trPr>
        <w:tc>
          <w:tcPr>
            <w:tcW w:type="dxa" w:w="436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“Você recebeu tudo certo e no prazo?”</w:t>
            </w:r>
          </w:p>
        </w:tc>
        <w:tc>
          <w:tcPr>
            <w:tcW w:type="dxa" w:w="1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n</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Faltou ao menos 1 dia</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Pensou em sair</w:t>
            </w:r>
          </w:p>
        </w:tc>
      </w:tr>
      <w:tr>
        <w:tc>
          <w:tcPr>
            <w:tcW w:type="dxa" w:w="4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Sim, sempre</w:t>
            </w:r>
          </w:p>
        </w:tc>
        <w:tc>
          <w:tcPr>
            <w:tcW w:type="dxa" w:w="1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73</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40%</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19%</w:t>
            </w:r>
          </w:p>
        </w:tc>
      </w:tr>
      <w:tr>
        <w:tc>
          <w:tcPr>
            <w:tcW w:type="dxa" w:w="4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Teve atraso ou erro uma vez</w:t>
            </w:r>
          </w:p>
        </w:tc>
        <w:tc>
          <w:tcPr>
            <w:tcW w:type="dxa" w:w="1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31</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61%</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52%</w:t>
            </w:r>
          </w:p>
        </w:tc>
      </w:tr>
    </w:tbl>
    <w:p>
      <w:pPr>
        <w:pBdr>
          <w:left w:val="single" w:color="8A5A00" w:sz="18" w:space="8"/>
        </w:pBdr>
        <w:shd w:fill="F4F6F9" w:color="auto" w:val="clear"/>
        <w:spacing w:after="60" w:before="220"/>
        <w:ind w:left="200"/>
      </w:pPr>
      <w:r>
        <w:rPr>
          <w:rFonts w:ascii="Calibri" w:cs="Calibri" w:eastAsia="Calibri" w:hAnsi="Calibri"/>
          <w:b/>
          <w:bCs/>
          <w:color w:val="8A5A00"/>
          <w:sz w:val="21"/>
          <w:szCs w:val="21"/>
        </w:rPr>
        <w:t xml:space="preserve">29,8% tiveram ao menos um erro de pagamento — e faltaram 21 pontos mais</w:t>
      </w:r>
    </w:p>
    <w:p>
      <w:pPr>
        <w:pBdr>
          <w:left w:val="single" w:color="8A5A00" w:sz="18" w:space="8"/>
        </w:pBdr>
        <w:shd w:fill="F4F6F9" w:color="auto" w:val="clear"/>
        <w:spacing w:after="220" w:before="0" w:line="276"/>
        <w:ind w:left="200"/>
      </w:pPr>
      <w:r>
        <w:rPr>
          <w:rFonts w:ascii="Calibri" w:cs="Calibri" w:eastAsia="Calibri" w:hAnsi="Calibri"/>
          <w:color w:val="52514E"/>
          <w:sz w:val="20"/>
          <w:szCs w:val="20"/>
        </w:rPr>
        <w:t xml:space="preserve">Nenhuma pessoa marcou “teve problema mais de uma vez”, o que indica falha pontual e não sistêmica. É o item de correção mais barata do relatório: depende exclusivamente de processo interno, não envolve negociação com o cliente e tem efeito medido sobre a falta e sobre a intenção de sair, que quase triplica.</w:t>
      </w:r>
    </w:p>
    <w:p>
      <w:pPr>
        <w:pBdr>
          <w:left w:val="single" w:color="1C5CAB" w:sz="18" w:space="8"/>
        </w:pBdr>
        <w:shd w:fill="EAF2FD" w:color="auto" w:val="clear"/>
        <w:spacing w:after="130" w:before="260"/>
        <w:ind w:left="200"/>
      </w:pPr>
      <w:r>
        <w:rPr>
          <w:rFonts w:ascii="Calibri" w:cs="Calibri" w:eastAsia="Calibri" w:hAnsi="Calibri"/>
          <w:b/>
          <w:bCs/>
          <w:color w:val="0D366B"/>
          <w:sz w:val="21"/>
          <w:szCs w:val="21"/>
        </w:rPr>
        <w:t xml:space="preserve">Preditor 3 — percepção de justiça no pagamento</w:t>
      </w:r>
    </w:p>
    <w:tbl>
      <w:tblPr>
        <w:tblW w:type="dxa" w:w="9360"/>
        <w:tblBorders>
          <w:top w:val="single" w:color="D9D8D2" w:sz="2"/>
          <w:left w:val="single" w:color="D9D8D2" w:sz="2"/>
          <w:bottom w:val="single" w:color="D9D8D2" w:sz="2"/>
          <w:right w:val="single" w:color="D9D8D2" w:sz="2"/>
          <w:insideH w:val="single" w:color="EAE9E3" w:sz="2"/>
          <w:insideV w:val="single" w:color="EAE9E3" w:sz="2"/>
        </w:tblBorders>
      </w:tblPr>
      <w:tblGrid>
        <w:gridCol w:w="4360"/>
        <w:gridCol w:w="1000"/>
        <w:gridCol w:w="2000"/>
        <w:gridCol w:w="2000"/>
      </w:tblGrid>
      <w:tr>
        <w:trPr>
          <w:tblHeader/>
        </w:trPr>
        <w:tc>
          <w:tcPr>
            <w:tcW w:type="dxa" w:w="436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“Pensando no esforço do dia a dia, o pagamento foi justo?”</w:t>
            </w:r>
          </w:p>
        </w:tc>
        <w:tc>
          <w:tcPr>
            <w:tcW w:type="dxa" w:w="1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n</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Faltou ao menos 1 dia</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Pensou em sair</w:t>
            </w:r>
          </w:p>
        </w:tc>
      </w:tr>
      <w:tr>
        <w:tc>
          <w:tcPr>
            <w:tcW w:type="dxa" w:w="4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Sim, foi justo pelo trabalho que fiz</w:t>
            </w:r>
          </w:p>
        </w:tc>
        <w:tc>
          <w:tcPr>
            <w:tcW w:type="dxa" w:w="1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82</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44%</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20%</w:t>
            </w:r>
          </w:p>
        </w:tc>
      </w:tr>
      <w:tr>
        <w:tc>
          <w:tcPr>
            <w:tcW w:type="dxa" w:w="4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É pouco perto do que a gente faz</w:t>
            </w:r>
          </w:p>
        </w:tc>
        <w:tc>
          <w:tcPr>
            <w:tcW w:type="dxa" w:w="1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19</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47%</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63%</w:t>
            </w:r>
          </w:p>
        </w:tc>
      </w:tr>
    </w:tbl>
    <w:p>
      <w:pPr>
        <w:spacing w:after="120" w:line="276"/>
      </w:pPr>
      <w:r>
        <w:rPr>
          <w:rFonts w:ascii="Calibri" w:cs="Calibri" w:eastAsia="Calibri" w:hAnsi="Calibri"/>
          <w:color w:val="0B0B0B"/>
          <w:sz w:val="21"/>
          <w:szCs w:val="21"/>
        </w:rPr>
        <w:t xml:space="preserve">Percepção de injustiça salarial quase não muda a falta, mas triplica a intenção de sair. São mecanismos distintos: a pessoa que se sente mal paga continua comparecendo — e vai embora.</w:t>
      </w:r>
    </w:p>
    <w:p>
      <w:pPr>
        <w:pBdr>
          <w:left w:val="single" w:color="1C5CAB" w:sz="18" w:space="8"/>
        </w:pBdr>
        <w:shd w:fill="EAF2FD" w:color="auto" w:val="clear"/>
        <w:spacing w:after="130" w:before="260"/>
        <w:ind w:left="200"/>
      </w:pPr>
      <w:r>
        <w:rPr>
          <w:rFonts w:ascii="Calibri" w:cs="Calibri" w:eastAsia="Calibri" w:hAnsi="Calibri"/>
          <w:b/>
          <w:bCs/>
          <w:color w:val="0D366B"/>
          <w:sz w:val="21"/>
          <w:szCs w:val="21"/>
        </w:rPr>
        <w:t xml:space="preserve">Preditor 4 — tratamento recebido dos efetivos</w:t>
      </w:r>
    </w:p>
    <w:tbl>
      <w:tblPr>
        <w:tblW w:type="dxa" w:w="9360"/>
        <w:tblBorders>
          <w:top w:val="single" w:color="D9D8D2" w:sz="2"/>
          <w:left w:val="single" w:color="D9D8D2" w:sz="2"/>
          <w:bottom w:val="single" w:color="D9D8D2" w:sz="2"/>
          <w:right w:val="single" w:color="D9D8D2" w:sz="2"/>
          <w:insideH w:val="single" w:color="EAE9E3" w:sz="2"/>
          <w:insideV w:val="single" w:color="EAE9E3" w:sz="2"/>
        </w:tblBorders>
      </w:tblPr>
      <w:tblGrid>
        <w:gridCol w:w="5360"/>
        <w:gridCol w:w="2000"/>
        <w:gridCol w:w="2000"/>
      </w:tblGrid>
      <w:tr>
        <w:trPr>
          <w:tblHeader/>
        </w:trPr>
        <w:tc>
          <w:tcPr>
            <w:tcW w:type="dxa" w:w="536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Nota dada ao tratamento dos colegas efetivos</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n</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Pensou em sair</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5 — Muito bem</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64</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17%</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4</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17</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47%</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3</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15</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53%</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1 — Muito mal</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6</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33%</w:t>
            </w:r>
          </w:p>
        </w:tc>
      </w:tr>
    </w:tbl>
    <w:p>
      <w:pPr>
        <w:spacing w:after="120" w:line="276"/>
      </w:pPr>
      <w:r>
        <w:rPr>
          <w:rFonts w:ascii="Calibri" w:cs="Calibri" w:eastAsia="Calibri" w:hAnsi="Calibri"/>
          <w:color w:val="0B0B0B"/>
          <w:sz w:val="21"/>
          <w:szCs w:val="21"/>
        </w:rPr>
        <w:t xml:space="preserve">61,5% deram nota máxima, mas quem deu 3 ou 4 tem três vezes mais intenção de saída do que quem deu 5. Nota intermediária, aqui, não é neutralidade — é insatisfação contida.</w:t>
      </w:r>
    </w:p>
    <w:p>
      <w:pPr>
        <w:spacing w:after="100" w:before="60" w:line="264"/>
        <w:ind w:left="340"/>
      </w:pPr>
      <w:r>
        <w:rPr>
          <w:rFonts w:ascii="Calibri" w:cs="Calibri" w:eastAsia="Calibri" w:hAnsi="Calibri"/>
          <w:i/>
          <w:iCs/>
          <w:color w:val="52514E"/>
          <w:sz w:val="19"/>
          <w:szCs w:val="19"/>
        </w:rPr>
        <w:t xml:space="preserve">“Mudaria a forma que alguns efetivos tratam os temporários, e os seguranças também, pois muitos acham que são os próprios donos do Rio Quente. Fora isso foi tudo muito bom, voltaria a trabalhar de novo sem problemas.”</w:t>
      </w:r>
    </w:p>
    <w:p>
      <w:r>
        <w:br w:type="page"/>
      </w:r>
    </w:p>
    <w:p>
      <w:pPr>
        <w:pStyle w:val="Heading1"/>
        <w:spacing w:after="160" w:before="320"/>
      </w:pPr>
      <w:r>
        <w:t xml:space="preserve">7. Quem saiu antes do fim</w:t>
      </w:r>
    </w:p>
    <w:p>
      <w:pPr>
        <w:spacing w:after="120" w:line="276"/>
      </w:pPr>
      <w:r>
        <w:rPr>
          <w:rFonts w:ascii="Calibri" w:cs="Calibri" w:eastAsia="Calibri" w:hAnsi="Calibri"/>
          <w:i/>
          <w:iCs/>
          <w:color w:val="52514E"/>
          <w:sz w:val="21"/>
          <w:szCs w:val="21"/>
        </w:rPr>
        <w:t xml:space="preserve">17 pessoas se declararam saída antecipada. Dessas, 10 responderam o questionário próprio de saída, que é o único com as perguntas de motivo e de momento da decisão. O que segue é padrão observado, não estatística — mas o padrão é nítido.</w:t>
      </w:r>
    </w:p>
    <w:tbl>
      <w:tblPr>
        <w:tblW w:type="dxa" w:w="9360"/>
        <w:tblBorders>
          <w:top w:val="single" w:color="D9D8D2" w:sz="2"/>
          <w:left w:val="single" w:color="D9D8D2" w:sz="2"/>
          <w:bottom w:val="single" w:color="D9D8D2" w:sz="2"/>
          <w:right w:val="single" w:color="D9D8D2" w:sz="2"/>
          <w:insideH w:val="single" w:color="EAE9E3" w:sz="2"/>
          <w:insideV w:val="single" w:color="EAE9E3" w:sz="2"/>
        </w:tblBorders>
      </w:tblPr>
      <w:tblGrid>
        <w:gridCol w:w="2400"/>
        <w:gridCol w:w="6960"/>
      </w:tblGrid>
      <w:tr>
        <w:trPr>
          <w:tblHeader/>
        </w:trPr>
        <w:tc>
          <w:tcPr>
            <w:tcW w:type="dxa" w:w="240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Dimensão</w:t>
            </w:r>
          </w:p>
        </w:tc>
        <w:tc>
          <w:tcPr>
            <w:tcW w:type="dxa" w:w="696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Resultado (n = 10, questionário de saída)</w:t>
            </w:r>
          </w:p>
        </w:tc>
      </w:tr>
      <w:tr>
        <w:tc>
          <w:tcPr>
            <w:tcW w:type="dxa" w:w="24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Natureza da saída</w:t>
            </w:r>
          </w:p>
        </w:tc>
        <w:tc>
          <w:tcPr>
            <w:tcW w:type="dxa" w:w="69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7 pediram para sair · 1 foi desligado (por faltas) · 1 combinou a saída · 1 preferiu não dizer</w:t>
            </w:r>
          </w:p>
        </w:tc>
      </w:tr>
      <w:tr>
        <w:tc>
          <w:tcPr>
            <w:tcW w:type="dxa" w:w="24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Tempo até a saída</w:t>
            </w:r>
          </w:p>
        </w:tc>
        <w:tc>
          <w:tcPr>
            <w:tcW w:type="dxa" w:w="69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6 saíram com menos de 7 dias · 4 entre 7 e 15 dias</w:t>
            </w:r>
          </w:p>
        </w:tc>
      </w:tr>
      <w:tr>
        <w:tc>
          <w:tcPr>
            <w:tcW w:type="dxa" w:w="24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Momento da decisão</w:t>
            </w:r>
          </w:p>
        </w:tc>
        <w:tc>
          <w:tcPr>
            <w:tcW w:type="dxa" w:w="69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5 decidiram já nos primeiros dias · 3 na primeira semana · 1 perto do fim · 1 foi desligado</w:t>
            </w:r>
          </w:p>
        </w:tc>
      </w:tr>
      <w:tr>
        <w:tc>
          <w:tcPr>
            <w:tcW w:type="dxa" w:w="24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Função</w:t>
            </w:r>
          </w:p>
        </w:tc>
        <w:tc>
          <w:tcPr>
            <w:tcW w:type="dxa" w:w="69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7 Garçom · 3 Auxiliar de Serviços Gerais</w:t>
            </w:r>
          </w:p>
        </w:tc>
      </w:tr>
      <w:tr>
        <w:tc>
          <w:tcPr>
            <w:tcW w:type="dxa" w:w="24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Motivo real declarado</w:t>
            </w:r>
          </w:p>
        </w:tc>
        <w:tc>
          <w:tcPr>
            <w:tcW w:type="dxa" w:w="69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3 preferiram não dizer · 2 problema pessoal ou familiar · 2 problema de saúde · 1 chefia ou liderança no posto · 1 escala e falta de folga · 1 outro emprego</w:t>
            </w:r>
          </w:p>
        </w:tc>
      </w:tr>
      <w:tr>
        <w:tc>
          <w:tcPr>
            <w:tcW w:type="dxa" w:w="24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Aviso prévio</w:t>
            </w:r>
          </w:p>
        </w:tc>
        <w:tc>
          <w:tcPr>
            <w:tcW w:type="dxa" w:w="69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7 avisaram com antecedência · 1 em cima da hora · 1 simplesmente parou de ir · 1 não se aplica</w:t>
            </w:r>
          </w:p>
        </w:tc>
      </w:tr>
      <w:tr>
        <w:tc>
          <w:tcPr>
            <w:tcW w:type="dxa" w:w="24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Após a primeira falta</w:t>
            </w:r>
          </w:p>
        </w:tc>
        <w:tc>
          <w:tcPr>
            <w:tcW w:type="dxa" w:w="69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5 “sim, e a conversa ajudou” · 3 “não falaram comigo” · 2 não faltaram</w:t>
            </w:r>
          </w:p>
        </w:tc>
      </w:tr>
    </w:tbl>
    <w:p>
      <w:pPr>
        <w:spacing w:after="120" w:line="276"/>
      </w:pPr>
      <w:r>
        <w:rPr>
          <w:rFonts w:ascii="Calibri" w:cs="Calibri" w:eastAsia="Calibri" w:hAnsi="Calibri"/>
          <w:color w:val="0B0B0B"/>
          <w:sz w:val="21"/>
          <w:szCs w:val="21"/>
        </w:rPr>
        <w:t xml:space="preserve">Considerando as 17 pessoas do grupo, 10 faltaram ao menos um dia — 58,8%, contra 43,3% entre quem cumpriu a temporada.</w:t>
      </w:r>
    </w:p>
    <w:p>
      <w:pPr>
        <w:pBdr>
          <w:left w:val="single" w:color="1C5CAB" w:sz="18" w:space="8"/>
        </w:pBdr>
        <w:shd w:fill="F4F6F9" w:color="auto" w:val="clear"/>
        <w:spacing w:after="60" w:before="220"/>
        <w:ind w:left="200"/>
      </w:pPr>
      <w:r>
        <w:rPr>
          <w:rFonts w:ascii="Calibri" w:cs="Calibri" w:eastAsia="Calibri" w:hAnsi="Calibri"/>
          <w:b/>
          <w:bCs/>
          <w:color w:val="1C5CAB"/>
          <w:sz w:val="21"/>
          <w:szCs w:val="21"/>
        </w:rPr>
        <w:t xml:space="preserve">A saída é decidida antes da segunda semana e é comunicada</w:t>
      </w:r>
    </w:p>
    <w:p>
      <w:pPr>
        <w:pBdr>
          <w:left w:val="single" w:color="1C5CAB" w:sz="18" w:space="8"/>
        </w:pBdr>
        <w:shd w:fill="F4F6F9" w:color="auto" w:val="clear"/>
        <w:spacing w:after="220" w:before="0" w:line="276"/>
        <w:ind w:left="200"/>
      </w:pPr>
      <w:r>
        <w:rPr>
          <w:rFonts w:ascii="Calibri" w:cs="Calibri" w:eastAsia="Calibri" w:hAnsi="Calibri"/>
          <w:color w:val="52514E"/>
          <w:sz w:val="20"/>
          <w:szCs w:val="20"/>
        </w:rPr>
        <w:t xml:space="preserve">8 dos 10 decidiram sair nos primeiros sete dias, e 7 dos 10 avisaram com antecedência. A operação teve aviso na quase totalidade dos casos e a decisão já estava tomada quando o aviso chegou. O que faltou não foi informação — foi uma conversa antes disso, dentro da primeira semana.</w:t>
      </w:r>
    </w:p>
    <w:p>
      <w:pPr>
        <w:spacing w:after="120" w:line="276"/>
      </w:pPr>
      <w:r>
        <w:rPr>
          <w:rFonts w:ascii="Calibri" w:cs="Calibri" w:eastAsia="Calibri" w:hAnsi="Calibri"/>
          <w:color w:val="0B0B0B"/>
          <w:sz w:val="21"/>
          <w:szCs w:val="21"/>
        </w:rPr>
        <w:t xml:space="preserve">Na pergunta sobre o que teria feito a pessoa ficar, “Alguém que me ouvisse quando o problema começou” aparece em 3 das 9 respostas — empatada com a soma de salário, escala e transporte. Duas pessoas marcaram “Nada — eu sairia de qualquer forma”, o que dimensiona a parcela inevitável em cerca de 20% das saídas desta amostra.</w:t>
      </w:r>
    </w:p>
    <w:p>
      <w:pPr>
        <w:spacing w:after="120" w:line="276"/>
      </w:pPr>
      <w:r>
        <w:rPr>
          <w:rFonts w:ascii="Calibri" w:cs="Calibri" w:eastAsia="Calibri" w:hAnsi="Calibri"/>
          <w:b/>
          <w:bCs/>
          <w:color w:val="0B0B0B"/>
          <w:sz w:val="21"/>
          <w:szCs w:val="21"/>
        </w:rPr>
        <w:t xml:space="preserve">Índice de recomendação de quem saiu antes do fim: 58,8. </w:t>
      </w:r>
      <w:r>
        <w:rPr>
          <w:rFonts w:ascii="Calibri" w:cs="Calibri" w:eastAsia="Calibri" w:hAnsi="Calibri"/>
          <w:color w:val="0B0B0B"/>
          <w:sz w:val="21"/>
          <w:szCs w:val="21"/>
        </w:rPr>
        <w:t xml:space="preserve">Onze recomendariam, cinco são indiferentes e um não recomendaria, em 17 respostas — 11,3 pontos abaixo dos 70,1 de quem cumpriu a temporada. Essa diferença é o custo reputacional da saída antecipada, e ela é modesta: 10 das 17 pessoas trabalhariam de novo com a Mendes RH e outras 6 considerariam. Quem saiu atribui a saída a motivo pessoal, de saúde ou de posto, não à empresa que o contratou.</w:t>
      </w:r>
    </w:p>
    <w:p>
      <w:pPr>
        <w:spacing w:after="100" w:before="60" w:line="264"/>
        <w:ind w:left="340"/>
      </w:pPr>
      <w:r>
        <w:rPr>
          <w:rFonts w:ascii="Calibri" w:cs="Calibri" w:eastAsia="Calibri" w:hAnsi="Calibri"/>
          <w:i/>
          <w:iCs/>
          <w:color w:val="52514E"/>
          <w:sz w:val="19"/>
          <w:szCs w:val="19"/>
        </w:rPr>
        <w:t xml:space="preserve">“O problema nem foi o RH Mendes, mas prefiro não dizer.”</w:t>
      </w:r>
    </w:p>
    <w:p>
      <w:pPr>
        <w:pStyle w:val="Heading2"/>
        <w:spacing w:after="120" w:before="260"/>
      </w:pPr>
      <w:r>
        <w:t xml:space="preserve">7.1 Um relato que exige tratamento imediato</w:t>
      </w:r>
    </w:p>
    <w:p>
      <w:pPr>
        <w:spacing w:after="120" w:line="276"/>
      </w:pPr>
      <w:r>
        <w:rPr>
          <w:rFonts w:ascii="Calibri" w:cs="Calibri" w:eastAsia="Calibri" w:hAnsi="Calibri"/>
          <w:color w:val="0B0B0B"/>
          <w:sz w:val="21"/>
          <w:szCs w:val="21"/>
        </w:rPr>
        <w:t xml:space="preserve">Uma resposta do formulário de saída descreve abandono operacional na chegada — a pessoa ficou na rodoviária, sem orientação e sem contato, no segundo dia de trabalho, e desistiu.</w:t>
      </w:r>
    </w:p>
    <w:p>
      <w:pPr>
        <w:spacing w:after="100" w:before="60" w:line="264"/>
        <w:ind w:left="340"/>
      </w:pPr>
      <w:r>
        <w:rPr>
          <w:rFonts w:ascii="Calibri" w:cs="Calibri" w:eastAsia="Calibri" w:hAnsi="Calibri"/>
          <w:i/>
          <w:iCs/>
          <w:color w:val="52514E"/>
          <w:sz w:val="19"/>
          <w:szCs w:val="19"/>
        </w:rPr>
        <w:t xml:space="preserve">“Ser mais prestativo e não deixar a gente feito boba como eu fiquei, fechada dentro do Hot Park e na rodoviária. […] falei com os guardas, eles ficaram de ter ligado para alguém me orientar, fiquei esperando na rodoviária, ninguém foi lá. Fiquei esperando até o horário do ônibus trazer os outros passageiros para Morrinhos, aí vim embora. Na outra semana levei os uniformes. Mas eu gosto de trabalhar.”</w:t>
      </w:r>
    </w:p>
    <w:p>
      <w:pPr>
        <w:spacing w:after="120" w:line="276"/>
      </w:pPr>
      <w:r>
        <w:rPr>
          <w:rFonts w:ascii="Calibri" w:cs="Calibri" w:eastAsia="Calibri" w:hAnsi="Calibri"/>
          <w:color w:val="0B0B0B"/>
          <w:sz w:val="21"/>
          <w:szCs w:val="21"/>
        </w:rPr>
        <w:t xml:space="preserve">Caso isolado na amostra, mas descreve falha de processo — não de pessoa — e a última frase mostra que a perda era evitável.</w:t>
      </w:r>
    </w:p>
    <w:p>
      <w:r>
        <w:br w:type="page"/>
      </w:r>
    </w:p>
    <w:p>
      <w:pPr>
        <w:pStyle w:val="Heading1"/>
        <w:spacing w:after="160" w:before="320"/>
      </w:pPr>
      <w:r>
        <w:t xml:space="preserve">8. Vínculo, recomendação e potencial de recontratação</w:t>
      </w:r>
    </w:p>
    <w:tbl>
      <w:tblPr>
        <w:tblW w:type="dxa" w:w="9360"/>
        <w:tblBorders>
          <w:top w:val="single" w:color="D9D8D2" w:sz="2"/>
          <w:left w:val="single" w:color="D9D8D2" w:sz="2"/>
          <w:bottom w:val="single" w:color="D9D8D2" w:sz="2"/>
          <w:right w:val="single" w:color="D9D8D2" w:sz="2"/>
          <w:insideH w:val="single" w:color="EAE9E3" w:sz="2"/>
          <w:insideV w:val="single" w:color="EAE9E3" w:sz="2"/>
        </w:tblBorders>
      </w:tblPr>
      <w:tblGrid>
        <w:gridCol w:w="3360"/>
        <w:gridCol w:w="2000"/>
        <w:gridCol w:w="2000"/>
        <w:gridCol w:w="2000"/>
      </w:tblGrid>
      <w:tr>
        <w:trPr>
          <w:tblHeader/>
        </w:trPr>
        <w:tc>
          <w:tcPr>
            <w:tcW w:type="dxa" w:w="336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Indicador</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Cumpriu a temporada</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Saiu antes do fim</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Total</w:t>
            </w:r>
          </w:p>
        </w:tc>
      </w:tr>
      <w:tr>
        <w:tc>
          <w:tcPr>
            <w:tcW w:type="dxa" w:w="3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Respostas</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97</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17</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114</w:t>
            </w:r>
          </w:p>
        </w:tc>
      </w:tr>
      <w:tr>
        <w:tc>
          <w:tcPr>
            <w:tcW w:type="dxa" w:w="3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Índice de recomendação</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70,1</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58,8</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68,4</w:t>
            </w:r>
          </w:p>
        </w:tc>
      </w:tr>
      <w:tr>
        <w:tc>
          <w:tcPr>
            <w:tcW w:type="dxa" w:w="3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Recomendam (notas 9 e 10)</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72</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11</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83</w:t>
            </w:r>
          </w:p>
        </w:tc>
      </w:tr>
      <w:tr>
        <w:tc>
          <w:tcPr>
            <w:tcW w:type="dxa" w:w="3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Indiferentes (7 e 8)</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21</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5</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26</w:t>
            </w:r>
          </w:p>
        </w:tc>
      </w:tr>
      <w:tr>
        <w:tc>
          <w:tcPr>
            <w:tcW w:type="dxa" w:w="3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Não recomendam (0 a 6)</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4</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5</w:t>
            </w:r>
          </w:p>
        </w:tc>
      </w:tr>
      <w:tr>
        <w:tc>
          <w:tcPr>
            <w:tcW w:type="dxa" w:w="3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Nota média</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9,15</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8,82</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9,11</w:t>
            </w:r>
          </w:p>
        </w:tc>
      </w:tr>
      <w:tr>
        <w:tc>
          <w:tcPr>
            <w:tcW w:type="dxa" w:w="3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Faltou ao menos 1 dia</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43,3%</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58,8%</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45,6%</w:t>
            </w:r>
          </w:p>
        </w:tc>
      </w:tr>
    </w:tbl>
    <w:p>
      <w:pPr>
        <w:spacing w:after="120" w:line="276"/>
      </w:pPr>
      <w:r>
        <w:rPr>
          <w:rFonts w:ascii="Calibri" w:cs="Calibri" w:eastAsia="Calibri" w:hAnsi="Calibri"/>
          <w:b/>
          <w:bCs/>
          <w:color w:val="0B0B0B"/>
          <w:sz w:val="21"/>
          <w:szCs w:val="21"/>
        </w:rPr>
        <w:t xml:space="preserve">Como se calcula. </w:t>
      </w:r>
      <w:r>
        <w:rPr>
          <w:rFonts w:ascii="Calibri" w:cs="Calibri" w:eastAsia="Calibri" w:hAnsi="Calibri"/>
          <w:color w:val="0B0B0B"/>
          <w:sz w:val="21"/>
          <w:szCs w:val="21"/>
        </w:rPr>
        <w:t xml:space="preserve">De uma pergunta só — “de 0 a 10, o quanto você indicaria a Mendes RH para um amigo trabalhar?”. Quem dá 9 ou 10 recomenda; 7 e 8 são indiferentes e ficam de fora da conta; 0 a 6 não recomenda. O índice é o percentual do primeiro grupo menos o do último, e vai de −100 a +100. É o método NPS aplicado a empregados, conhecido no mercado pela sigla eNPS — usamos o nome em português no painel, mas o cálculo é o padrão internacional, o que mantém o número comparável com qualquer referência externa.</w:t>
      </w:r>
    </w:p>
    <w:p>
      <w:pPr>
        <w:spacing w:after="120" w:line="276"/>
      </w:pPr>
      <w:r>
        <w:rPr>
          <w:rFonts w:ascii="Calibri" w:cs="Calibri" w:eastAsia="Calibri" w:hAnsi="Calibri"/>
          <w:color w:val="0B0B0B"/>
          <w:sz w:val="21"/>
          <w:szCs w:val="21"/>
        </w:rPr>
        <w:t xml:space="preserve">Índice acima de 50 é considerado excelente em qualquer referência de mercado; 70,1 em trabalho temporário de alta carga física é um resultado que sustenta apresentação. A ressalva do viés de sobrevivência continua valendo — mas note que o grupo com pior desfecho ficou apenas 11,3 pontos abaixo, o que limita o tamanho provável desse viés.</w:t>
      </w:r>
    </w:p>
    <w:p>
      <w:pPr>
        <w:pStyle w:val="Heading2"/>
        <w:spacing w:after="120" w:before="260"/>
      </w:pPr>
      <w:r>
        <w:t xml:space="preserve">8.1 Relação com a equipe da Mendes RH</w:t>
      </w:r>
    </w:p>
    <w:p>
      <w:pPr>
        <w:spacing w:after="120" w:line="276"/>
      </w:pPr>
      <w:r>
        <w:rPr>
          <w:rFonts w:ascii="Calibri" w:cs="Calibri" w:eastAsia="Calibri" w:hAnsi="Calibri"/>
          <w:i/>
          <w:iCs/>
          <w:color w:val="898781"/>
          <w:sz w:val="21"/>
          <w:szCs w:val="21"/>
        </w:rPr>
        <w:t xml:space="preserve">Base: 104 respostas do questionário longo.</w:t>
      </w:r>
    </w:p>
    <w:tbl>
      <w:tblPr>
        <w:tblW w:type="dxa" w:w="9360"/>
        <w:tblBorders>
          <w:top w:val="single" w:color="D9D8D2" w:sz="2"/>
          <w:left w:val="single" w:color="D9D8D2" w:sz="2"/>
          <w:bottom w:val="single" w:color="D9D8D2" w:sz="2"/>
          <w:right w:val="single" w:color="D9D8D2" w:sz="2"/>
          <w:insideH w:val="single" w:color="EAE9E3" w:sz="2"/>
          <w:insideV w:val="single" w:color="EAE9E3" w:sz="2"/>
        </w:tblBorders>
      </w:tblPr>
      <w:tblGrid>
        <w:gridCol w:w="5360"/>
        <w:gridCol w:w="2000"/>
        <w:gridCol w:w="2000"/>
      </w:tblGrid>
      <w:tr>
        <w:trPr>
          <w:tblHeader/>
        </w:trPr>
        <w:tc>
          <w:tcPr>
            <w:tcW w:type="dxa" w:w="536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Como foi a experiência com a equipe, da entrevista ao fim do contrato</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n</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Ótima — fui bem recebido, informações claras, tive apoio</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90</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86,5%</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Boa, mas distante — depois da contratação me senti sozinho</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10</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9,6%</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Confusa — as informações mudavam</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2,9%</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Ruim — me senti largado no posto de trabalho</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1,0%</w:t>
            </w:r>
          </w:p>
        </w:tc>
      </w:tr>
    </w:tbl>
    <w:p>
      <w:pPr>
        <w:spacing w:after="120" w:line="276"/>
      </w:pPr>
      <w:r>
        <w:rPr>
          <w:rFonts w:ascii="Calibri" w:cs="Calibri" w:eastAsia="Calibri" w:hAnsi="Calibri"/>
          <w:color w:val="0B0B0B"/>
          <w:sz w:val="21"/>
          <w:szCs w:val="21"/>
        </w:rPr>
        <w:t xml:space="preserve">Na temporada anterior, 70% classificaram a experiência como ótima — com o telefone do sorteio na mesma planilha das respostas. Agora são 86,5%, com anonimato verificável e amostra 50% maior. A comparação entre os dois números é legítima e favorável.</w:t>
      </w:r>
    </w:p>
    <w:p>
      <w:pPr>
        <w:spacing w:after="120" w:line="276"/>
      </w:pPr>
      <w:r>
        <w:rPr>
          <w:rFonts w:ascii="Calibri" w:cs="Calibri" w:eastAsia="Calibri" w:hAnsi="Calibri"/>
          <w:b/>
          <w:bCs/>
          <w:color w:val="0B0B0B"/>
          <w:sz w:val="21"/>
          <w:szCs w:val="21"/>
        </w:rPr>
        <w:t xml:space="preserve">Os 10,6% de “boa, mas distante” e “ruim” apontam para o mesmo lugar dos preditores: </w:t>
      </w:r>
      <w:r>
        <w:rPr>
          <w:rFonts w:ascii="Calibri" w:cs="Calibri" w:eastAsia="Calibri" w:hAnsi="Calibri"/>
          <w:color w:val="0B0B0B"/>
          <w:sz w:val="21"/>
          <w:szCs w:val="21"/>
        </w:rPr>
        <w:t xml:space="preserve">acompanhamento pós-contratação. Dois comentários abertos dizem exatamente isso.</w:t>
      </w:r>
    </w:p>
    <w:p>
      <w:pPr>
        <w:spacing w:after="100" w:before="60" w:line="264"/>
        <w:ind w:left="340"/>
      </w:pPr>
      <w:r>
        <w:rPr>
          <w:rFonts w:ascii="Calibri" w:cs="Calibri" w:eastAsia="Calibri" w:hAnsi="Calibri"/>
          <w:i/>
          <w:iCs/>
          <w:color w:val="52514E"/>
          <w:sz w:val="19"/>
          <w:szCs w:val="19"/>
        </w:rPr>
        <w:t xml:space="preserve">“Gostaria que o pessoal do RH Mendes apoiasse mais os colaboradores da temporada, desse mais suporte após a contratação. Pois não adianta nada o desespero antes de contratar um funcionário, para depois deixar eles jogados de lado.”</w:t>
      </w:r>
    </w:p>
    <w:p>
      <w:pPr>
        <w:spacing w:after="100" w:before="60" w:line="264"/>
        <w:ind w:left="340"/>
      </w:pPr>
      <w:r>
        <w:rPr>
          <w:rFonts w:ascii="Calibri" w:cs="Calibri" w:eastAsia="Calibri" w:hAnsi="Calibri"/>
          <w:i/>
          <w:iCs/>
          <w:color w:val="52514E"/>
          <w:sz w:val="19"/>
          <w:szCs w:val="19"/>
        </w:rPr>
        <w:t xml:space="preserve">“Só acho que com a mesma rapidez que a equipe te responde antes de assinar o contrato, também poderia ser rápido o interesse de resposta quando já estamos contratados.”</w:t>
      </w:r>
    </w:p>
    <w:p>
      <w:pPr>
        <w:pStyle w:val="Heading2"/>
        <w:spacing w:after="120" w:before="260"/>
      </w:pPr>
      <w:r>
        <w:t xml:space="preserve">8.2 Banco de recontratação</w:t>
      </w:r>
    </w:p>
    <w:tbl>
      <w:tblPr>
        <w:tblW w:type="dxa" w:w="9360"/>
        <w:tblBorders>
          <w:top w:val="single" w:color="D9D8D2" w:sz="2"/>
          <w:left w:val="single" w:color="D9D8D2" w:sz="2"/>
          <w:bottom w:val="single" w:color="D9D8D2" w:sz="2"/>
          <w:right w:val="single" w:color="D9D8D2" w:sz="2"/>
          <w:insideH w:val="single" w:color="EAE9E3" w:sz="2"/>
          <w:insideV w:val="single" w:color="EAE9E3" w:sz="2"/>
        </w:tblBorders>
      </w:tblPr>
      <w:tblGrid>
        <w:gridCol w:w="3860"/>
        <w:gridCol w:w="3000"/>
        <w:gridCol w:w="1250"/>
        <w:gridCol w:w="1250"/>
      </w:tblGrid>
      <w:tr>
        <w:trPr>
          <w:tblHeader/>
        </w:trPr>
        <w:tc>
          <w:tcPr>
            <w:tcW w:type="dxa" w:w="386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Pergunta</w:t>
            </w:r>
          </w:p>
        </w:tc>
        <w:tc>
          <w:tcPr>
            <w:tcW w:type="dxa" w:w="300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Resposta</w:t>
            </w:r>
          </w:p>
        </w:tc>
        <w:tc>
          <w:tcPr>
            <w:tcW w:type="dxa" w:w="125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w:t>
            </w:r>
          </w:p>
        </w:tc>
        <w:tc>
          <w:tcPr>
            <w:tcW w:type="dxa" w:w="125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Base</w:t>
            </w:r>
          </w:p>
        </w:tc>
      </w:tr>
      <w:tr>
        <w:tc>
          <w:tcPr>
            <w:tcW w:type="dxa" w:w="38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Trabalharia de novo na próxima temporada</w:t>
            </w:r>
          </w:p>
        </w:tc>
        <w:tc>
          <w:tcPr>
            <w:tcW w:type="dxa" w:w="30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Sim, com certeza</w:t>
            </w:r>
          </w:p>
        </w:tc>
        <w:tc>
          <w:tcPr>
            <w:tcW w:type="dxa" w:w="125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80,7%</w:t>
            </w:r>
          </w:p>
        </w:tc>
        <w:tc>
          <w:tcPr>
            <w:tcW w:type="dxa" w:w="125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114</w:t>
            </w:r>
          </w:p>
        </w:tc>
      </w:tr>
      <w:tr>
        <w:tc>
          <w:tcPr>
            <w:tcW w:type="dxa" w:w="38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
            </w:r>
          </w:p>
        </w:tc>
        <w:tc>
          <w:tcPr>
            <w:tcW w:type="dxa" w:w="30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Talvez</w:t>
            </w:r>
          </w:p>
        </w:tc>
        <w:tc>
          <w:tcPr>
            <w:tcW w:type="dxa" w:w="125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17,5%</w:t>
            </w:r>
          </w:p>
        </w:tc>
        <w:tc>
          <w:tcPr>
            <w:tcW w:type="dxa" w:w="125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114</w:t>
            </w:r>
          </w:p>
        </w:tc>
      </w:tr>
      <w:tr>
        <w:tc>
          <w:tcPr>
            <w:tcW w:type="dxa" w:w="38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
            </w:r>
          </w:p>
        </w:tc>
        <w:tc>
          <w:tcPr>
            <w:tcW w:type="dxa" w:w="30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Não</w:t>
            </w:r>
          </w:p>
        </w:tc>
        <w:tc>
          <w:tcPr>
            <w:tcW w:type="dxa" w:w="125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1,8%</w:t>
            </w:r>
          </w:p>
        </w:tc>
        <w:tc>
          <w:tcPr>
            <w:tcW w:type="dxa" w:w="125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114</w:t>
            </w:r>
          </w:p>
        </w:tc>
      </w:tr>
      <w:tr>
        <w:tc>
          <w:tcPr>
            <w:tcW w:type="dxa" w:w="38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Aceitaria vaga fixa hoje</w:t>
            </w:r>
          </w:p>
        </w:tc>
        <w:tc>
          <w:tcPr>
            <w:tcW w:type="dxa" w:w="30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Sim, na hora</w:t>
            </w:r>
          </w:p>
        </w:tc>
        <w:tc>
          <w:tcPr>
            <w:tcW w:type="dxa" w:w="125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78,8%</w:t>
            </w:r>
          </w:p>
        </w:tc>
        <w:tc>
          <w:tcPr>
            <w:tcW w:type="dxa" w:w="125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104</w:t>
            </w:r>
          </w:p>
        </w:tc>
      </w:tr>
      <w:tr>
        <w:tc>
          <w:tcPr>
            <w:tcW w:type="dxa" w:w="38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
            </w:r>
          </w:p>
        </w:tc>
        <w:tc>
          <w:tcPr>
            <w:tcW w:type="dxa" w:w="30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Sim, se melhorasse alguma coisa</w:t>
            </w:r>
          </w:p>
        </w:tc>
        <w:tc>
          <w:tcPr>
            <w:tcW w:type="dxa" w:w="125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11,5%</w:t>
            </w:r>
          </w:p>
        </w:tc>
        <w:tc>
          <w:tcPr>
            <w:tcW w:type="dxa" w:w="125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104</w:t>
            </w:r>
          </w:p>
        </w:tc>
      </w:tr>
      <w:tr>
        <w:tc>
          <w:tcPr>
            <w:tcW w:type="dxa" w:w="38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
            </w:r>
          </w:p>
        </w:tc>
        <w:tc>
          <w:tcPr>
            <w:tcW w:type="dxa" w:w="30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Não</w:t>
            </w:r>
          </w:p>
        </w:tc>
        <w:tc>
          <w:tcPr>
            <w:tcW w:type="dxa" w:w="125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9,6%</w:t>
            </w:r>
          </w:p>
        </w:tc>
        <w:tc>
          <w:tcPr>
            <w:tcW w:type="dxa" w:w="125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104</w:t>
            </w:r>
          </w:p>
        </w:tc>
      </w:tr>
      <w:tr>
        <w:tc>
          <w:tcPr>
            <w:tcW w:type="dxa" w:w="38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Acredita em chance real de efetivação</w:t>
            </w:r>
          </w:p>
        </w:tc>
        <w:tc>
          <w:tcPr>
            <w:tcW w:type="dxa" w:w="30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Sim, dependia de mim</w:t>
            </w:r>
          </w:p>
        </w:tc>
        <w:tc>
          <w:tcPr>
            <w:tcW w:type="dxa" w:w="125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78,8%</w:t>
            </w:r>
          </w:p>
        </w:tc>
        <w:tc>
          <w:tcPr>
            <w:tcW w:type="dxa" w:w="125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104</w:t>
            </w:r>
          </w:p>
        </w:tc>
      </w:tr>
      <w:tr>
        <w:tc>
          <w:tcPr>
            <w:tcW w:type="dxa" w:w="38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
            </w:r>
          </w:p>
        </w:tc>
        <w:tc>
          <w:tcPr>
            <w:tcW w:type="dxa" w:w="30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Tive dúvidas</w:t>
            </w:r>
          </w:p>
        </w:tc>
        <w:tc>
          <w:tcPr>
            <w:tcW w:type="dxa" w:w="125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12,5%</w:t>
            </w:r>
          </w:p>
        </w:tc>
        <w:tc>
          <w:tcPr>
            <w:tcW w:type="dxa" w:w="125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104</w:t>
            </w:r>
          </w:p>
        </w:tc>
      </w:tr>
      <w:tr>
        <w:tc>
          <w:tcPr>
            <w:tcW w:type="dxa" w:w="38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
            </w:r>
          </w:p>
        </w:tc>
        <w:tc>
          <w:tcPr>
            <w:tcW w:type="dxa" w:w="30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Não acreditei / não tinha interesse</w:t>
            </w:r>
          </w:p>
        </w:tc>
        <w:tc>
          <w:tcPr>
            <w:tcW w:type="dxa" w:w="125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8,7%</w:t>
            </w:r>
          </w:p>
        </w:tc>
        <w:tc>
          <w:tcPr>
            <w:tcW w:type="dxa" w:w="125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104</w:t>
            </w:r>
          </w:p>
        </w:tc>
      </w:tr>
    </w:tbl>
    <w:p>
      <w:pPr>
        <w:pBdr>
          <w:left w:val="single" w:color="0C7A3E" w:sz="18" w:space="8"/>
        </w:pBdr>
        <w:shd w:fill="F4F6F9" w:color="auto" w:val="clear"/>
        <w:spacing w:after="60" w:before="220"/>
        <w:ind w:left="200"/>
      </w:pPr>
      <w:r>
        <w:rPr>
          <w:rFonts w:ascii="Calibri" w:cs="Calibri" w:eastAsia="Calibri" w:hAnsi="Calibri"/>
          <w:b/>
          <w:bCs/>
          <w:color w:val="0C7A3E"/>
          <w:sz w:val="21"/>
          <w:szCs w:val="21"/>
        </w:rPr>
        <w:t xml:space="preserve">98,2% voltariam ou considerariam voltar</w:t>
      </w:r>
    </w:p>
    <w:p>
      <w:pPr>
        <w:pBdr>
          <w:left w:val="single" w:color="0C7A3E" w:sz="18" w:space="8"/>
        </w:pBdr>
        <w:shd w:fill="F4F6F9" w:color="auto" w:val="clear"/>
        <w:spacing w:after="220" w:before="0" w:line="276"/>
        <w:ind w:left="200"/>
      </w:pPr>
      <w:r>
        <w:rPr>
          <w:rFonts w:ascii="Calibri" w:cs="Calibri" w:eastAsia="Calibri" w:hAnsi="Calibri"/>
          <w:color w:val="52514E"/>
          <w:sz w:val="20"/>
          <w:szCs w:val="20"/>
        </w:rPr>
        <w:t xml:space="preserve">Aplicado às 178 pessoas contatadas, o banco de retorno para a próxima temporada é praticamente integral — e inclui quem saiu antes do fim. Isso tem valor econômico direto: recontratar quem já conhece o posto elimina o custo de integração e o risco de saída na primeira semana, que é onde esta pesquisa mostra que a perda acontece.</w:t>
      </w:r>
    </w:p>
    <w:p>
      <w:pPr>
        <w:pStyle w:val="Heading2"/>
        <w:spacing w:after="120" w:before="260"/>
      </w:pPr>
      <w:r>
        <w:t xml:space="preserve">8.3 O que segurou quem ficou (n = 103)</w:t>
      </w:r>
    </w:p>
    <w:tbl>
      <w:tblPr>
        <w:tblW w:type="dxa" w:w="9360"/>
        <w:tblBorders>
          <w:top w:val="single" w:color="D9D8D2" w:sz="2"/>
          <w:left w:val="single" w:color="D9D8D2" w:sz="2"/>
          <w:bottom w:val="single" w:color="D9D8D2" w:sz="2"/>
          <w:right w:val="single" w:color="D9D8D2" w:sz="2"/>
          <w:insideH w:val="single" w:color="EAE9E3" w:sz="2"/>
          <w:insideV w:val="single" w:color="EAE9E3" w:sz="2"/>
        </w:tblBorders>
      </w:tblPr>
      <w:tblGrid>
        <w:gridCol w:w="5360"/>
        <w:gridCol w:w="2000"/>
        <w:gridCol w:w="2000"/>
      </w:tblGrid>
      <w:tr>
        <w:trPr>
          <w:tblHeader/>
        </w:trPr>
        <w:tc>
          <w:tcPr>
            <w:tcW w:type="dxa" w:w="536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Fator</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Citações</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Precisava do dinheiro</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47</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45,6%</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Gostei do trabalho</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46</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44,7%</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Compromisso pessoal — eu assumi e fui até o fim</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29</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28,2%</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Chance de efetivação</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27</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26,2%</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Bom relacionamento com a equipe</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24</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23,3%</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A escala deu certo para mim</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12</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11,7%</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Boa liderança no posto</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6</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5,8%</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Não tinha outra opção de trabalho</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2,9%</w:t>
            </w:r>
          </w:p>
        </w:tc>
      </w:tr>
    </w:tbl>
    <w:p>
      <w:pPr>
        <w:spacing w:after="120" w:line="276"/>
      </w:pPr>
      <w:r>
        <w:rPr>
          <w:rFonts w:ascii="Calibri" w:cs="Calibri" w:eastAsia="Calibri" w:hAnsi="Calibri"/>
          <w:b/>
          <w:bCs/>
          <w:color w:val="0B0B0B"/>
          <w:sz w:val="21"/>
          <w:szCs w:val="21"/>
        </w:rPr>
        <w:t xml:space="preserve">Necessidade e gosto pelo trabalho empatam. </w:t>
      </w:r>
      <w:r>
        <w:rPr>
          <w:rFonts w:ascii="Calibri" w:cs="Calibri" w:eastAsia="Calibri" w:hAnsi="Calibri"/>
          <w:color w:val="0B0B0B"/>
          <w:sz w:val="21"/>
          <w:szCs w:val="21"/>
        </w:rPr>
        <w:t xml:space="preserve">Mas note o contraste com o outro lado: no questionário de saída, o item mais citado como o que teria feito ficar é “alguém que me ouvisse”, que aqui nem aparece na lista — porque quem ficou não precisou dele. E “boa liderança no posto” com 5,8% é o item mais baixo entre quem ficou, enquanto liderança aparece como motivo real de saída. A liderança de posto não segura ninguém, mas afasta.</w:t>
      </w:r>
    </w:p>
    <w:p>
      <w:r>
        <w:br w:type="page"/>
      </w:r>
    </w:p>
    <w:p>
      <w:pPr>
        <w:pStyle w:val="Heading1"/>
        <w:spacing w:after="160" w:before="320"/>
      </w:pPr>
      <w:r>
        <w:t xml:space="preserve">9. Leitura por função e por posto</w:t>
      </w:r>
    </w:p>
    <w:p>
      <w:pPr>
        <w:spacing w:after="120" w:line="276"/>
      </w:pPr>
      <w:r>
        <w:rPr>
          <w:rFonts w:ascii="Calibri" w:cs="Calibri" w:eastAsia="Calibri" w:hAnsi="Calibri"/>
          <w:i/>
          <w:iCs/>
          <w:color w:val="898781"/>
          <w:sz w:val="21"/>
          <w:szCs w:val="21"/>
        </w:rPr>
        <w:t xml:space="preserve">Base: 114 respostas. Apenas recortes com 5 ou mais respostas — abaixo disso o recorte identifica o respondente e não deve ser apresentado. A coluna “pensou em sair” só existe no questionário longo, então o denominador dela é menor.</w:t>
      </w:r>
    </w:p>
    <w:tbl>
      <w:tblPr>
        <w:tblW w:type="dxa" w:w="9360"/>
        <w:tblBorders>
          <w:top w:val="single" w:color="D9D8D2" w:sz="2"/>
          <w:left w:val="single" w:color="D9D8D2" w:sz="2"/>
          <w:bottom w:val="single" w:color="D9D8D2" w:sz="2"/>
          <w:right w:val="single" w:color="D9D8D2" w:sz="2"/>
          <w:insideH w:val="single" w:color="EAE9E3" w:sz="2"/>
          <w:insideV w:val="single" w:color="EAE9E3" w:sz="2"/>
        </w:tblBorders>
      </w:tblPr>
      <w:tblGrid>
        <w:gridCol w:w="3110"/>
        <w:gridCol w:w="900"/>
        <w:gridCol w:w="1250"/>
        <w:gridCol w:w="1250"/>
        <w:gridCol w:w="1550"/>
        <w:gridCol w:w="1300"/>
      </w:tblGrid>
      <w:tr>
        <w:trPr>
          <w:tblHeader/>
        </w:trPr>
        <w:tc>
          <w:tcPr>
            <w:tcW w:type="dxa" w:w="311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Função</w:t>
            </w:r>
          </w:p>
        </w:tc>
        <w:tc>
          <w:tcPr>
            <w:tcW w:type="dxa" w:w="9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n</w:t>
            </w:r>
          </w:p>
        </w:tc>
        <w:tc>
          <w:tcPr>
            <w:tcW w:type="dxa" w:w="125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Recomendação</w:t>
            </w:r>
          </w:p>
        </w:tc>
        <w:tc>
          <w:tcPr>
            <w:tcW w:type="dxa" w:w="125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Faltou</w:t>
            </w:r>
          </w:p>
        </w:tc>
        <w:tc>
          <w:tcPr>
            <w:tcW w:type="dxa" w:w="155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Pensou em sair</w:t>
            </w:r>
          </w:p>
        </w:tc>
        <w:tc>
          <w:tcPr>
            <w:tcW w:type="dxa" w:w="13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Voltaria</w:t>
            </w:r>
          </w:p>
        </w:tc>
      </w:tr>
      <w:tr>
        <w:tc>
          <w:tcPr>
            <w:tcW w:type="dxa" w:w="311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Garçom</w:t>
            </w:r>
          </w:p>
        </w:tc>
        <w:tc>
          <w:tcPr>
            <w:tcW w:type="dxa" w:w="9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34</w:t>
            </w:r>
          </w:p>
        </w:tc>
        <w:tc>
          <w:tcPr>
            <w:tcW w:type="dxa" w:w="125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79,4</w:t>
            </w:r>
          </w:p>
        </w:tc>
        <w:tc>
          <w:tcPr>
            <w:tcW w:type="dxa" w:w="125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50%</w:t>
            </w:r>
          </w:p>
        </w:tc>
        <w:tc>
          <w:tcPr>
            <w:tcW w:type="dxa" w:w="155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33%</w:t>
            </w:r>
          </w:p>
        </w:tc>
        <w:tc>
          <w:tcPr>
            <w:tcW w:type="dxa" w:w="13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76%</w:t>
            </w:r>
          </w:p>
        </w:tc>
      </w:tr>
      <w:tr>
        <w:tc>
          <w:tcPr>
            <w:tcW w:type="dxa" w:w="311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Atendente de Parque</w:t>
            </w:r>
          </w:p>
        </w:tc>
        <w:tc>
          <w:tcPr>
            <w:tcW w:type="dxa" w:w="9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16</w:t>
            </w:r>
          </w:p>
        </w:tc>
        <w:tc>
          <w:tcPr>
            <w:tcW w:type="dxa" w:w="125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75,0</w:t>
            </w:r>
          </w:p>
        </w:tc>
        <w:tc>
          <w:tcPr>
            <w:tcW w:type="dxa" w:w="125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50%</w:t>
            </w:r>
          </w:p>
        </w:tc>
        <w:tc>
          <w:tcPr>
            <w:tcW w:type="dxa" w:w="155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38%</w:t>
            </w:r>
          </w:p>
        </w:tc>
        <w:tc>
          <w:tcPr>
            <w:tcW w:type="dxa" w:w="13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75%</w:t>
            </w:r>
          </w:p>
        </w:tc>
      </w:tr>
      <w:tr>
        <w:tc>
          <w:tcPr>
            <w:tcW w:type="dxa" w:w="311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Aux. Serviços Gerais / Limpeza</w:t>
            </w:r>
          </w:p>
        </w:tc>
        <w:tc>
          <w:tcPr>
            <w:tcW w:type="dxa" w:w="9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11</w:t>
            </w:r>
          </w:p>
        </w:tc>
        <w:tc>
          <w:tcPr>
            <w:tcW w:type="dxa" w:w="125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63,6</w:t>
            </w:r>
          </w:p>
        </w:tc>
        <w:tc>
          <w:tcPr>
            <w:tcW w:type="dxa" w:w="125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55%</w:t>
            </w:r>
          </w:p>
        </w:tc>
        <w:tc>
          <w:tcPr>
            <w:tcW w:type="dxa" w:w="155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12%</w:t>
            </w:r>
          </w:p>
        </w:tc>
        <w:tc>
          <w:tcPr>
            <w:tcW w:type="dxa" w:w="13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73%</w:t>
            </w:r>
          </w:p>
        </w:tc>
      </w:tr>
      <w:tr>
        <w:tc>
          <w:tcPr>
            <w:tcW w:type="dxa" w:w="311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Recepcionista de Parques</w:t>
            </w:r>
          </w:p>
        </w:tc>
        <w:tc>
          <w:tcPr>
            <w:tcW w:type="dxa" w:w="9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9</w:t>
            </w:r>
          </w:p>
        </w:tc>
        <w:tc>
          <w:tcPr>
            <w:tcW w:type="dxa" w:w="125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77,8</w:t>
            </w:r>
          </w:p>
        </w:tc>
        <w:tc>
          <w:tcPr>
            <w:tcW w:type="dxa" w:w="125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44%</w:t>
            </w:r>
          </w:p>
        </w:tc>
        <w:tc>
          <w:tcPr>
            <w:tcW w:type="dxa" w:w="155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22%</w:t>
            </w:r>
          </w:p>
        </w:tc>
        <w:tc>
          <w:tcPr>
            <w:tcW w:type="dxa" w:w="13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100%</w:t>
            </w:r>
          </w:p>
        </w:tc>
      </w:tr>
      <w:tr>
        <w:tc>
          <w:tcPr>
            <w:tcW w:type="dxa" w:w="311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Outra</w:t>
            </w:r>
          </w:p>
        </w:tc>
        <w:tc>
          <w:tcPr>
            <w:tcW w:type="dxa" w:w="9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9</w:t>
            </w:r>
          </w:p>
        </w:tc>
        <w:tc>
          <w:tcPr>
            <w:tcW w:type="dxa" w:w="125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55,6</w:t>
            </w:r>
          </w:p>
        </w:tc>
        <w:tc>
          <w:tcPr>
            <w:tcW w:type="dxa" w:w="125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44%</w:t>
            </w:r>
          </w:p>
        </w:tc>
        <w:tc>
          <w:tcPr>
            <w:tcW w:type="dxa" w:w="155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22%</w:t>
            </w:r>
          </w:p>
        </w:tc>
        <w:tc>
          <w:tcPr>
            <w:tcW w:type="dxa" w:w="13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100%</w:t>
            </w:r>
          </w:p>
        </w:tc>
      </w:tr>
      <w:tr>
        <w:tc>
          <w:tcPr>
            <w:tcW w:type="dxa" w:w="311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Atendente de Hotelaria</w:t>
            </w:r>
          </w:p>
        </w:tc>
        <w:tc>
          <w:tcPr>
            <w:tcW w:type="dxa" w:w="9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8</w:t>
            </w:r>
          </w:p>
        </w:tc>
        <w:tc>
          <w:tcPr>
            <w:tcW w:type="dxa" w:w="125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62,5</w:t>
            </w:r>
          </w:p>
        </w:tc>
        <w:tc>
          <w:tcPr>
            <w:tcW w:type="dxa" w:w="125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25%</w:t>
            </w:r>
          </w:p>
        </w:tc>
        <w:tc>
          <w:tcPr>
            <w:tcW w:type="dxa" w:w="155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12%</w:t>
            </w:r>
          </w:p>
        </w:tc>
        <w:tc>
          <w:tcPr>
            <w:tcW w:type="dxa" w:w="13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75%</w:t>
            </w:r>
          </w:p>
        </w:tc>
      </w:tr>
      <w:tr>
        <w:tc>
          <w:tcPr>
            <w:tcW w:type="dxa" w:w="311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Camareira</w:t>
            </w:r>
          </w:p>
        </w:tc>
        <w:tc>
          <w:tcPr>
            <w:tcW w:type="dxa" w:w="9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7</w:t>
            </w:r>
          </w:p>
        </w:tc>
        <w:tc>
          <w:tcPr>
            <w:tcW w:type="dxa" w:w="125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28,6</w:t>
            </w:r>
          </w:p>
        </w:tc>
        <w:tc>
          <w:tcPr>
            <w:tcW w:type="dxa" w:w="125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71%</w:t>
            </w:r>
          </w:p>
        </w:tc>
        <w:tc>
          <w:tcPr>
            <w:tcW w:type="dxa" w:w="155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43%</w:t>
            </w:r>
          </w:p>
        </w:tc>
        <w:tc>
          <w:tcPr>
            <w:tcW w:type="dxa" w:w="13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86%</w:t>
            </w:r>
          </w:p>
        </w:tc>
      </w:tr>
      <w:tr>
        <w:tc>
          <w:tcPr>
            <w:tcW w:type="dxa" w:w="311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Auxiliar de Cozinha</w:t>
            </w:r>
          </w:p>
        </w:tc>
        <w:tc>
          <w:tcPr>
            <w:tcW w:type="dxa" w:w="9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5</w:t>
            </w:r>
          </w:p>
        </w:tc>
        <w:tc>
          <w:tcPr>
            <w:tcW w:type="dxa" w:w="125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60,0</w:t>
            </w:r>
          </w:p>
        </w:tc>
        <w:tc>
          <w:tcPr>
            <w:tcW w:type="dxa" w:w="125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40%</w:t>
            </w:r>
          </w:p>
        </w:tc>
        <w:tc>
          <w:tcPr>
            <w:tcW w:type="dxa" w:w="155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20%</w:t>
            </w:r>
          </w:p>
        </w:tc>
        <w:tc>
          <w:tcPr>
            <w:tcW w:type="dxa" w:w="13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80%</w:t>
            </w:r>
          </w:p>
        </w:tc>
      </w:tr>
    </w:tbl>
    <w:p>
      <w:pPr>
        <w:pBdr>
          <w:left w:val="single" w:color="A32020" w:sz="18" w:space="8"/>
        </w:pBdr>
        <w:shd w:fill="F4F6F9" w:color="auto" w:val="clear"/>
        <w:spacing w:after="60" w:before="220"/>
        <w:ind w:left="200"/>
      </w:pPr>
      <w:r>
        <w:rPr>
          <w:rFonts w:ascii="Calibri" w:cs="Calibri" w:eastAsia="Calibri" w:hAnsi="Calibri"/>
          <w:b/>
          <w:bCs/>
          <w:color w:val="A32020"/>
          <w:sz w:val="21"/>
          <w:szCs w:val="21"/>
        </w:rPr>
        <w:t xml:space="preserve">Camareira é o único ponto vermelho da pesquisa</w:t>
      </w:r>
    </w:p>
    <w:p>
      <w:pPr>
        <w:pBdr>
          <w:left w:val="single" w:color="A32020" w:sz="18" w:space="8"/>
        </w:pBdr>
        <w:shd w:fill="F4F6F9" w:color="auto" w:val="clear"/>
        <w:spacing w:after="220" w:before="0" w:line="276"/>
        <w:ind w:left="200"/>
      </w:pPr>
      <w:r>
        <w:rPr>
          <w:rFonts w:ascii="Calibri" w:cs="Calibri" w:eastAsia="Calibri" w:hAnsi="Calibri"/>
          <w:color w:val="52514E"/>
          <w:sz w:val="20"/>
          <w:szCs w:val="20"/>
        </w:rPr>
        <w:t xml:space="preserve">Recomendação de 28,6 contra 68,4 da média geral, 71% de incidência de falta e 43% de intenção de saída — os três piores números da tabela na mesma linha. São 7 respostas, o que não permite concluir, mas permite decidir onde olhar primeiro. Recomenda-se conversa estruturada com a equipe de governança antes da próxima temporada.</w:t>
      </w:r>
    </w:p>
    <w:p>
      <w:pPr>
        <w:spacing w:after="120" w:line="276"/>
      </w:pPr>
      <w:r>
        <w:rPr>
          <w:rFonts w:ascii="Calibri" w:cs="Calibri" w:eastAsia="Calibri" w:hAnsi="Calibri"/>
          <w:b/>
          <w:bCs/>
          <w:color w:val="0B0B0B"/>
          <w:sz w:val="21"/>
          <w:szCs w:val="21"/>
        </w:rPr>
        <w:t xml:space="preserve">Garçom merece leitura oposta à intuição. </w:t>
      </w:r>
      <w:r>
        <w:rPr>
          <w:rFonts w:ascii="Calibri" w:cs="Calibri" w:eastAsia="Calibri" w:hAnsi="Calibri"/>
          <w:color w:val="0B0B0B"/>
          <w:sz w:val="21"/>
          <w:szCs w:val="21"/>
        </w:rPr>
        <w:t xml:space="preserve">É a maior função da amostra, tem metade do quadro com ao menos uma falta e ainda assim registra o melhor índice de recomendação (79,4). Também é a função de 7 das 10 saídas que responderam o questionário próprio. A combinação sustenta a tese central: falta e saída, aqui, não vêm de insatisfação com a empresa — vêm de carga, saúde e logística.</w:t>
      </w:r>
    </w:p>
    <w:p>
      <w:pPr>
        <w:pStyle w:val="Heading2"/>
        <w:spacing w:after="120" w:before="260"/>
      </w:pPr>
      <w:r>
        <w:t xml:space="preserve">9.1 Por local de trabalho</w:t>
      </w:r>
    </w:p>
    <w:tbl>
      <w:tblPr>
        <w:tblW w:type="dxa" w:w="9360"/>
        <w:tblBorders>
          <w:top w:val="single" w:color="D9D8D2" w:sz="2"/>
          <w:left w:val="single" w:color="D9D8D2" w:sz="2"/>
          <w:bottom w:val="single" w:color="D9D8D2" w:sz="2"/>
          <w:right w:val="single" w:color="D9D8D2" w:sz="2"/>
          <w:insideH w:val="single" w:color="EAE9E3" w:sz="2"/>
          <w:insideV w:val="single" w:color="EAE9E3" w:sz="2"/>
        </w:tblBorders>
      </w:tblPr>
      <w:tblGrid>
        <w:gridCol w:w="4360"/>
        <w:gridCol w:w="1500"/>
        <w:gridCol w:w="1750"/>
        <w:gridCol w:w="1750"/>
      </w:tblGrid>
      <w:tr>
        <w:trPr>
          <w:tblHeader/>
        </w:trPr>
        <w:tc>
          <w:tcPr>
            <w:tcW w:type="dxa" w:w="436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Local</w:t>
            </w:r>
          </w:p>
        </w:tc>
        <w:tc>
          <w:tcPr>
            <w:tcW w:type="dxa" w:w="15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n</w:t>
            </w:r>
          </w:p>
        </w:tc>
        <w:tc>
          <w:tcPr>
            <w:tcW w:type="dxa" w:w="175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Recomendação</w:t>
            </w:r>
          </w:p>
        </w:tc>
        <w:tc>
          <w:tcPr>
            <w:tcW w:type="dxa" w:w="175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Faltou</w:t>
            </w:r>
          </w:p>
        </w:tc>
      </w:tr>
      <w:tr>
        <w:tc>
          <w:tcPr>
            <w:tcW w:type="dxa" w:w="4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Recepção Parque</w:t>
            </w:r>
          </w:p>
        </w:tc>
        <w:tc>
          <w:tcPr>
            <w:tcW w:type="dxa" w:w="15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12</w:t>
            </w:r>
          </w:p>
        </w:tc>
        <w:tc>
          <w:tcPr>
            <w:tcW w:type="dxa" w:w="175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100,0</w:t>
            </w:r>
          </w:p>
        </w:tc>
        <w:tc>
          <w:tcPr>
            <w:tcW w:type="dxa" w:w="175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50%</w:t>
            </w:r>
          </w:p>
        </w:tc>
      </w:tr>
      <w:tr>
        <w:tc>
          <w:tcPr>
            <w:tcW w:type="dxa" w:w="4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Lavanderia</w:t>
            </w:r>
          </w:p>
        </w:tc>
        <w:tc>
          <w:tcPr>
            <w:tcW w:type="dxa" w:w="15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5</w:t>
            </w:r>
          </w:p>
        </w:tc>
        <w:tc>
          <w:tcPr>
            <w:tcW w:type="dxa" w:w="175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100,0</w:t>
            </w:r>
          </w:p>
        </w:tc>
        <w:tc>
          <w:tcPr>
            <w:tcW w:type="dxa" w:w="175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40%</w:t>
            </w:r>
          </w:p>
        </w:tc>
      </w:tr>
      <w:tr>
        <w:tc>
          <w:tcPr>
            <w:tcW w:type="dxa" w:w="4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Outro</w:t>
            </w:r>
          </w:p>
        </w:tc>
        <w:tc>
          <w:tcPr>
            <w:tcW w:type="dxa" w:w="15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10</w:t>
            </w:r>
          </w:p>
        </w:tc>
        <w:tc>
          <w:tcPr>
            <w:tcW w:type="dxa" w:w="175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70,0</w:t>
            </w:r>
          </w:p>
        </w:tc>
        <w:tc>
          <w:tcPr>
            <w:tcW w:type="dxa" w:w="175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20%</w:t>
            </w:r>
          </w:p>
        </w:tc>
      </w:tr>
      <w:tr>
        <w:tc>
          <w:tcPr>
            <w:tcW w:type="dxa" w:w="4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Bares e restaurantes Praia</w:t>
            </w:r>
          </w:p>
        </w:tc>
        <w:tc>
          <w:tcPr>
            <w:tcW w:type="dxa" w:w="15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16</w:t>
            </w:r>
          </w:p>
        </w:tc>
        <w:tc>
          <w:tcPr>
            <w:tcW w:type="dxa" w:w="175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68,8</w:t>
            </w:r>
          </w:p>
        </w:tc>
        <w:tc>
          <w:tcPr>
            <w:tcW w:type="dxa" w:w="175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62%</w:t>
            </w:r>
          </w:p>
        </w:tc>
      </w:tr>
      <w:tr>
        <w:tc>
          <w:tcPr>
            <w:tcW w:type="dxa" w:w="4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Hot Park</w:t>
            </w:r>
          </w:p>
        </w:tc>
        <w:tc>
          <w:tcPr>
            <w:tcW w:type="dxa" w:w="15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25</w:t>
            </w:r>
          </w:p>
        </w:tc>
        <w:tc>
          <w:tcPr>
            <w:tcW w:type="dxa" w:w="175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64,0</w:t>
            </w:r>
          </w:p>
        </w:tc>
        <w:tc>
          <w:tcPr>
            <w:tcW w:type="dxa" w:w="175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40%</w:t>
            </w:r>
          </w:p>
        </w:tc>
      </w:tr>
      <w:tr>
        <w:tc>
          <w:tcPr>
            <w:tcW w:type="dxa" w:w="4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Pier Point</w:t>
            </w:r>
          </w:p>
        </w:tc>
        <w:tc>
          <w:tcPr>
            <w:tcW w:type="dxa" w:w="15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21</w:t>
            </w:r>
          </w:p>
        </w:tc>
        <w:tc>
          <w:tcPr>
            <w:tcW w:type="dxa" w:w="175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61,9</w:t>
            </w:r>
          </w:p>
        </w:tc>
        <w:tc>
          <w:tcPr>
            <w:tcW w:type="dxa" w:w="175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57%</w:t>
            </w:r>
          </w:p>
        </w:tc>
      </w:tr>
      <w:tr>
        <w:tc>
          <w:tcPr>
            <w:tcW w:type="dxa" w:w="4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Parque das Fontes</w:t>
            </w:r>
          </w:p>
        </w:tc>
        <w:tc>
          <w:tcPr>
            <w:tcW w:type="dxa" w:w="15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5</w:t>
            </w:r>
          </w:p>
        </w:tc>
        <w:tc>
          <w:tcPr>
            <w:tcW w:type="dxa" w:w="175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60,0</w:t>
            </w:r>
          </w:p>
        </w:tc>
        <w:tc>
          <w:tcPr>
            <w:tcW w:type="dxa" w:w="175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40%</w:t>
            </w:r>
          </w:p>
        </w:tc>
      </w:tr>
      <w:tr>
        <w:tc>
          <w:tcPr>
            <w:tcW w:type="dxa" w:w="4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Hotéis / Incasa (governança)</w:t>
            </w:r>
          </w:p>
        </w:tc>
        <w:tc>
          <w:tcPr>
            <w:tcW w:type="dxa" w:w="15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14</w:t>
            </w:r>
          </w:p>
        </w:tc>
        <w:tc>
          <w:tcPr>
            <w:tcW w:type="dxa" w:w="175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57,1</w:t>
            </w:r>
          </w:p>
        </w:tc>
        <w:tc>
          <w:tcPr>
            <w:tcW w:type="dxa" w:w="175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50%</w:t>
            </w:r>
          </w:p>
        </w:tc>
      </w:tr>
    </w:tbl>
    <w:p>
      <w:pPr>
        <w:spacing w:after="120" w:line="276"/>
      </w:pPr>
      <w:r>
        <w:rPr>
          <w:rFonts w:ascii="Calibri" w:cs="Calibri" w:eastAsia="Calibri" w:hAnsi="Calibri"/>
          <w:color w:val="0B0B0B"/>
          <w:sz w:val="21"/>
          <w:szCs w:val="21"/>
        </w:rPr>
        <w:t xml:space="preserve">Bares e restaurantes Praia e Pier Point concentram as maiores taxas de falta entre os postos com volume relevante — 62% e 57%. Hotéis/Incasa fecha a lista de recomendação, o que é coerente com Camareira: é o mesmo público. Recepção Parque, com recomendação 100 e 12 respostas, é o posto a estudar como referência interna.</w:t>
      </w:r>
    </w:p>
    <w:p>
      <w:r>
        <w:br w:type="page"/>
      </w:r>
    </w:p>
    <w:p>
      <w:pPr>
        <w:pStyle w:val="Heading1"/>
        <w:spacing w:after="160" w:before="320"/>
      </w:pPr>
      <w:r>
        <w:t xml:space="preserve">10. O que escreveram por conta própria</w:t>
      </w:r>
    </w:p>
    <w:p>
      <w:pPr>
        <w:spacing w:after="120" w:line="276"/>
      </w:pPr>
      <w:r>
        <w:rPr>
          <w:rFonts w:ascii="Calibri" w:cs="Calibri" w:eastAsia="Calibri" w:hAnsi="Calibri"/>
          <w:color w:val="0B0B0B"/>
          <w:sz w:val="21"/>
          <w:szCs w:val="21"/>
        </w:rPr>
        <w:t xml:space="preserve">139 comentários livres nas duas perguntas abertas do questionário principal. A distribuição temática abaixo é resultado de leitura manual de todos eles.</w:t>
      </w:r>
    </w:p>
    <w:tbl>
      <w:tblPr>
        <w:tblW w:type="dxa" w:w="9360"/>
        <w:tblBorders>
          <w:top w:val="single" w:color="D9D8D2" w:sz="2"/>
          <w:left w:val="single" w:color="D9D8D2" w:sz="2"/>
          <w:bottom w:val="single" w:color="D9D8D2" w:sz="2"/>
          <w:right w:val="single" w:color="D9D8D2" w:sz="2"/>
          <w:insideH w:val="single" w:color="EAE9E3" w:sz="2"/>
          <w:insideV w:val="single" w:color="EAE9E3" w:sz="2"/>
        </w:tblBorders>
      </w:tblPr>
      <w:tblGrid>
        <w:gridCol w:w="2600"/>
        <w:gridCol w:w="1100"/>
        <w:gridCol w:w="5660"/>
      </w:tblGrid>
      <w:tr>
        <w:trPr>
          <w:tblHeader/>
        </w:trPr>
        <w:tc>
          <w:tcPr>
            <w:tcW w:type="dxa" w:w="260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Tema</w:t>
            </w:r>
          </w:p>
        </w:tc>
        <w:tc>
          <w:tcPr>
            <w:tcW w:type="dxa" w:w="110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Peso</w:t>
            </w:r>
          </w:p>
        </w:tc>
        <w:tc>
          <w:tcPr>
            <w:tcW w:type="dxa" w:w="566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Do que se trata</w:t>
            </w:r>
          </w:p>
        </w:tc>
      </w:tr>
      <w:tr>
        <w:tc>
          <w:tcPr>
            <w:tcW w:type="dxa" w:w="26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Elogio à equipe da Mendes RH</w:t>
            </w:r>
          </w:p>
        </w:tc>
        <w:tc>
          <w:tcPr>
            <w:tcW w:type="dxa" w:w="11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Alto</w:t>
            </w:r>
          </w:p>
        </w:tc>
        <w:tc>
          <w:tcPr>
            <w:tcW w:type="dxa" w:w="56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Agradecimento, atenção, prontidão. Vários citam nomes de supervisores e treinadores.</w:t>
            </w:r>
          </w:p>
        </w:tc>
      </w:tr>
      <w:tr>
        <w:tc>
          <w:tcPr>
            <w:tcW w:type="dxa" w:w="26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Transporte</w:t>
            </w:r>
          </w:p>
        </w:tc>
        <w:tc>
          <w:tcPr>
            <w:tcW w:type="dxa" w:w="11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Alto</w:t>
            </w:r>
          </w:p>
        </w:tc>
        <w:tc>
          <w:tcPr>
            <w:tcW w:type="dxa" w:w="56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Ônibus exclusivo para recepção, horários, estado dos bancos, conduta dentro do veículo, tempo perdido no trajeto.</w:t>
            </w:r>
          </w:p>
        </w:tc>
      </w:tr>
      <w:tr>
        <w:tc>
          <w:tcPr>
            <w:tcW w:type="dxa" w:w="26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Alimentação</w:t>
            </w:r>
          </w:p>
        </w:tc>
        <w:tc>
          <w:tcPr>
            <w:tcW w:type="dxa" w:w="11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Médio</w:t>
            </w:r>
          </w:p>
        </w:tc>
        <w:tc>
          <w:tcPr>
            <w:tcW w:type="dxa" w:w="56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Pedidos de melhoria no refeitório. Convive com 61,5% de nota máxima — é insatisfação localizada, não geral.</w:t>
            </w:r>
          </w:p>
        </w:tc>
      </w:tr>
      <w:tr>
        <w:tc>
          <w:tcPr>
            <w:tcW w:type="dxa" w:w="26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Tratamento dos efetivos e da segurança</w:t>
            </w:r>
          </w:p>
        </w:tc>
        <w:tc>
          <w:tcPr>
            <w:tcW w:type="dxa" w:w="11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Médio</w:t>
            </w:r>
          </w:p>
        </w:tc>
        <w:tc>
          <w:tcPr>
            <w:tcW w:type="dxa" w:w="56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Temporários tratados como categoria inferior. Aparece também na nota 1 de 5,8%.</w:t>
            </w:r>
          </w:p>
        </w:tc>
      </w:tr>
      <w:tr>
        <w:tc>
          <w:tcPr>
            <w:tcW w:type="dxa" w:w="26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Rotação de posto</w:t>
            </w:r>
          </w:p>
        </w:tc>
        <w:tc>
          <w:tcPr>
            <w:tcW w:type="dxa" w:w="11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Médio</w:t>
            </w:r>
          </w:p>
        </w:tc>
        <w:tc>
          <w:tcPr>
            <w:tcW w:type="dxa" w:w="56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Ser trocado de local depois de já ter aprendido a rotina do anterior.</w:t>
            </w:r>
          </w:p>
        </w:tc>
      </w:tr>
      <w:tr>
        <w:tc>
          <w:tcPr>
            <w:tcW w:type="dxa" w:w="26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Remuneração e bônus</w:t>
            </w:r>
          </w:p>
        </w:tc>
        <w:tc>
          <w:tcPr>
            <w:tcW w:type="dxa" w:w="11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Médio</w:t>
            </w:r>
          </w:p>
        </w:tc>
        <w:tc>
          <w:tcPr>
            <w:tcW w:type="dxa" w:w="56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Aumento de diária, pagamento semanal, bônus por assiduidade.</w:t>
            </w:r>
          </w:p>
        </w:tc>
      </w:tr>
      <w:tr>
        <w:tc>
          <w:tcPr>
            <w:tcW w:type="dxa" w:w="26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Escala e folgas</w:t>
            </w:r>
          </w:p>
        </w:tc>
        <w:tc>
          <w:tcPr>
            <w:tcW w:type="dxa" w:w="11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Médio</w:t>
            </w:r>
          </w:p>
        </w:tc>
        <w:tc>
          <w:tcPr>
            <w:tcW w:type="dxa" w:w="56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Folga aos domingos, duas folgas iguais, pausa maior após o almoço.</w:t>
            </w:r>
          </w:p>
        </w:tc>
      </w:tr>
      <w:tr>
        <w:tc>
          <w:tcPr>
            <w:tcW w:type="dxa" w:w="26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Ergonomia</w:t>
            </w:r>
          </w:p>
        </w:tc>
        <w:tc>
          <w:tcPr>
            <w:tcW w:type="dxa" w:w="11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Baixo</w:t>
            </w:r>
          </w:p>
        </w:tc>
        <w:tc>
          <w:tcPr>
            <w:tcW w:type="dxa" w:w="56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Pedido recorrente de cadeira para descanso quando não há cliente.</w:t>
            </w:r>
          </w:p>
        </w:tc>
      </w:tr>
    </w:tbl>
    <w:p>
      <w:pPr>
        <w:pStyle w:val="Heading2"/>
        <w:spacing w:after="120" w:before="260"/>
      </w:pPr>
      <w:r>
        <w:t xml:space="preserve">10.1 Um relato de assédio que precisa de apuração formal</w:t>
      </w:r>
    </w:p>
    <w:p>
      <w:pPr>
        <w:spacing w:after="120" w:line="276"/>
      </w:pPr>
      <w:r>
        <w:rPr>
          <w:rFonts w:ascii="Calibri" w:cs="Calibri" w:eastAsia="Calibri" w:hAnsi="Calibri"/>
          <w:color w:val="0B0B0B"/>
          <w:sz w:val="21"/>
          <w:szCs w:val="21"/>
        </w:rPr>
        <w:t xml:space="preserve">Uma resposta descreve conduta de uma pessoa em treinamento para função de treinadora, com agressão verbal e comentários sobre aparência física. Está reproduzida abaixo porque o teor exige tratamento imediato e nominal, fora do escopo estatístico deste relatório.</w:t>
      </w:r>
    </w:p>
    <w:p>
      <w:pPr>
        <w:spacing w:after="100" w:before="60" w:line="264"/>
        <w:ind w:left="340"/>
      </w:pPr>
      <w:r>
        <w:rPr>
          <w:rFonts w:ascii="Calibri" w:cs="Calibri" w:eastAsia="Calibri" w:hAnsi="Calibri"/>
          <w:i/>
          <w:iCs/>
          <w:color w:val="52514E"/>
          <w:sz w:val="19"/>
          <w:szCs w:val="19"/>
        </w:rPr>
        <w:t xml:space="preserve">“Sobre a garçom que está em treinamento para “treinadora”, muito arrogante, grita e faz falta de educação com os funcionários, já me xingou, já falou da minha fisionomia, do meu peso entre outras coisas. Se fosse para falar algo ou indicar para treinadora, não recomendaria ela nunca.”</w:t>
      </w:r>
    </w:p>
    <w:p>
      <w:pPr>
        <w:spacing w:after="120" w:line="276"/>
      </w:pPr>
      <w:r>
        <w:rPr>
          <w:rFonts w:ascii="Calibri" w:cs="Calibri" w:eastAsia="Calibri" w:hAnsi="Calibri"/>
          <w:b/>
          <w:bCs/>
          <w:color w:val="0B0B0B"/>
          <w:sz w:val="21"/>
          <w:szCs w:val="21"/>
        </w:rPr>
        <w:t xml:space="preserve">Encaminhamento sugerido: </w:t>
      </w:r>
      <w:r>
        <w:rPr>
          <w:rFonts w:ascii="Calibri" w:cs="Calibri" w:eastAsia="Calibri" w:hAnsi="Calibri"/>
          <w:color w:val="0B0B0B"/>
          <w:sz w:val="21"/>
          <w:szCs w:val="21"/>
        </w:rPr>
        <w:t xml:space="preserve">apuração pelo canal de conduta antes de qualquer promoção dessa pessoa a função de treinamento. A pesquisa é anônima e não identifica o autor do relato, mas identifica o posto e a função da pessoa mencionada, o que é suficiente para investigar sem expor quem respondeu. Esse é exatamente o tipo de informação que o formato anterior da pesquisa, com telefone na mesma planilha, não teria capturado.</w:t>
      </w:r>
    </w:p>
    <w:p>
      <w:pPr>
        <w:spacing w:after="120" w:line="276"/>
      </w:pPr>
      <w:r>
        <w:rPr>
          <w:rFonts w:ascii="Calibri" w:cs="Calibri" w:eastAsia="Calibri" w:hAnsi="Calibri"/>
          <w:b/>
          <w:bCs/>
          <w:color w:val="0B0B0B"/>
          <w:sz w:val="21"/>
          <w:szCs w:val="21"/>
        </w:rPr>
        <w:t xml:space="preserve">Este relato não entra no dashboard. </w:t>
      </w:r>
      <w:r>
        <w:rPr>
          <w:rFonts w:ascii="Calibri" w:cs="Calibri" w:eastAsia="Calibri" w:hAnsi="Calibri"/>
          <w:color w:val="0B0B0B"/>
          <w:sz w:val="21"/>
          <w:szCs w:val="21"/>
        </w:rPr>
        <w:t xml:space="preserve">Em tela de apresentação ele vira o assunto da reunião inteira e desloca a discussão do que é estrutural para o que é individual. Trate por fora, pelo canal de conduta.</w:t>
      </w:r>
    </w:p>
    <w:p>
      <w:pPr>
        <w:pStyle w:val="Heading2"/>
        <w:spacing w:after="120" w:before="260"/>
      </w:pPr>
      <w:r>
        <w:t xml:space="preserve">10.2 Reconhecimentos nominais</w:t>
      </w:r>
    </w:p>
    <w:p>
      <w:pPr>
        <w:spacing w:after="120" w:line="276"/>
      </w:pPr>
      <w:r>
        <w:rPr>
          <w:rFonts w:ascii="Calibri" w:cs="Calibri" w:eastAsia="Calibri" w:hAnsi="Calibri"/>
          <w:color w:val="0B0B0B"/>
          <w:sz w:val="21"/>
          <w:szCs w:val="21"/>
        </w:rPr>
        <w:t xml:space="preserve">Três nomes aparecem espontaneamente em elogio: o treinador João Paulo, e os supervisores Yan e Lelézinha, da recreação. Vale devolver isso a eles — reconhecimento vindo do próprio temporário tem peso diferente do reconhecimento vindo da gestão.</w:t>
      </w:r>
    </w:p>
    <w:p>
      <w:r>
        <w:br w:type="page"/>
      </w:r>
    </w:p>
    <w:p>
      <w:pPr>
        <w:pStyle w:val="Heading1"/>
        <w:spacing w:after="160" w:before="320"/>
      </w:pPr>
      <w:r>
        <w:t xml:space="preserve">11. Plano de ação</w:t>
      </w:r>
    </w:p>
    <w:p>
      <w:pPr>
        <w:spacing w:after="120" w:line="276"/>
      </w:pPr>
      <w:r>
        <w:rPr>
          <w:rFonts w:ascii="Calibri" w:cs="Calibri" w:eastAsia="Calibri" w:hAnsi="Calibri"/>
          <w:color w:val="0B0B0B"/>
          <w:sz w:val="21"/>
          <w:szCs w:val="21"/>
        </w:rPr>
        <w:t xml:space="preserve">Sete ações, ordenadas por relação entre impacto esperado e custo. As quatro primeiras não dependem de negociação com o cliente. As seis primeiras estão reproduzidas no dashboard, na aba Pesquisa.</w:t>
      </w:r>
    </w:p>
    <w:tbl>
      <w:tblPr>
        <w:tblW w:type="dxa" w:w="9360"/>
        <w:tblBorders>
          <w:top w:val="single" w:color="D9D8D2" w:sz="2"/>
          <w:left w:val="single" w:color="D9D8D2" w:sz="2"/>
          <w:bottom w:val="single" w:color="D9D8D2" w:sz="2"/>
          <w:right w:val="single" w:color="D9D8D2" w:sz="2"/>
          <w:insideH w:val="single" w:color="EAE9E3" w:sz="2"/>
          <w:insideV w:val="single" w:color="EAE9E3" w:sz="2"/>
        </w:tblBorders>
      </w:tblPr>
      <w:tblGrid>
        <w:gridCol w:w="500"/>
        <w:gridCol w:w="3060"/>
        <w:gridCol w:w="4300"/>
        <w:gridCol w:w="1500"/>
      </w:tblGrid>
      <w:tr>
        <w:trPr>
          <w:tblHeader/>
        </w:trPr>
        <w:tc>
          <w:tcPr>
            <w:tcW w:type="dxa" w:w="50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w:t>
            </w:r>
          </w:p>
        </w:tc>
        <w:tc>
          <w:tcPr>
            <w:tcW w:type="dxa" w:w="306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Ação</w:t>
            </w:r>
          </w:p>
        </w:tc>
        <w:tc>
          <w:tcPr>
            <w:tcW w:type="dxa" w:w="430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Base na pesquisa</w:t>
            </w:r>
          </w:p>
        </w:tc>
        <w:tc>
          <w:tcPr>
            <w:tcW w:type="dxa" w:w="150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Custo</w:t>
            </w:r>
          </w:p>
        </w:tc>
      </w:tr>
      <w:tr>
        <w:tc>
          <w:tcPr>
            <w:tcW w:type="dxa" w:w="5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1</w:t>
            </w:r>
          </w:p>
        </w:tc>
        <w:tc>
          <w:tcPr>
            <w:tcW w:type="dxa" w:w="30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Conversa estruturada de 5 minutos no 3º e no 7º dia de cada temporário, com registro simples de quem falou o quê</w:t>
            </w:r>
          </w:p>
        </w:tc>
        <w:tc>
          <w:tcPr>
            <w:tcW w:type="dxa" w:w="43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8 de 10 saídas foram decididas na 1ª semana; “alguém que me ouvisse” é o item mais citado como o que teria feito ficar</w:t>
            </w:r>
          </w:p>
        </w:tc>
        <w:tc>
          <w:tcPr>
            <w:tcW w:type="dxa" w:w="15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Zero — tempo de equipe</w:t>
            </w:r>
          </w:p>
        </w:tc>
      </w:tr>
      <w:tr>
        <w:tc>
          <w:tcPr>
            <w:tcW w:type="dxa" w:w="5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2</w:t>
            </w:r>
          </w:p>
        </w:tc>
        <w:tc>
          <w:tcPr>
            <w:tcW w:type="dxa" w:w="30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Zerar erro e atraso de pagamento</w:t>
            </w:r>
          </w:p>
        </w:tc>
        <w:tc>
          <w:tcPr>
            <w:tcW w:type="dxa" w:w="43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29,8% tiveram ao menos um erro; esse grupo faltou 61% contra 40% e teve intenção de sair de 52% contra 19%</w:t>
            </w:r>
          </w:p>
        </w:tc>
        <w:tc>
          <w:tcPr>
            <w:tcW w:type="dxa" w:w="15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Zero — processo interno</w:t>
            </w:r>
          </w:p>
        </w:tc>
      </w:tr>
      <w:tr>
        <w:tc>
          <w:tcPr>
            <w:tcW w:type="dxa" w:w="5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3</w:t>
            </w:r>
          </w:p>
        </w:tc>
        <w:tc>
          <w:tcPr>
            <w:tcW w:type="dxa" w:w="30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Canal de escuta anônimo ativo durante a temporada, não só no fim</w:t>
            </w:r>
          </w:p>
        </w:tc>
        <w:tc>
          <w:tcPr>
            <w:tcW w:type="dxa" w:w="43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Quem não se sente à vontade para falar falta 70% contra 36%</w:t>
            </w:r>
          </w:p>
        </w:tc>
        <w:tc>
          <w:tcPr>
            <w:tcW w:type="dxa" w:w="15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Baixo</w:t>
            </w:r>
          </w:p>
        </w:tc>
      </w:tr>
      <w:tr>
        <w:tc>
          <w:tcPr>
            <w:tcW w:type="dxa" w:w="5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4</w:t>
            </w:r>
          </w:p>
        </w:tc>
        <w:tc>
          <w:tcPr>
            <w:tcW w:type="dxa" w:w="30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Auditoria do transporte fretado: rota da recepção, horários, estado dos veículos e conduta a bordo</w:t>
            </w:r>
          </w:p>
        </w:tc>
        <w:tc>
          <w:tcPr>
            <w:tcW w:type="dxa" w:w="43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30,8% de quem faltou não conseguiu chegar; 90,4% dependem só do fretado</w:t>
            </w:r>
          </w:p>
        </w:tc>
        <w:tc>
          <w:tcPr>
            <w:tcW w:type="dxa" w:w="15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Baixo a médio</w:t>
            </w:r>
          </w:p>
        </w:tc>
      </w:tr>
      <w:tr>
        <w:tc>
          <w:tcPr>
            <w:tcW w:type="dxa" w:w="5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5</w:t>
            </w:r>
          </w:p>
        </w:tc>
        <w:tc>
          <w:tcPr>
            <w:tcW w:type="dxa" w:w="30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Apuração do relato de assédio e alinhamento com efetivos e segurança sobre tratamento ao temporário</w:t>
            </w:r>
          </w:p>
        </w:tc>
        <w:tc>
          <w:tcPr>
            <w:tcW w:type="dxa" w:w="43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Relato nominal na seção 10.1; nota 1 em tratamento por 5,8%; citações abertas recorrentes</w:t>
            </w:r>
          </w:p>
        </w:tc>
        <w:tc>
          <w:tcPr>
            <w:tcW w:type="dxa" w:w="15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Zero</w:t>
            </w:r>
          </w:p>
        </w:tc>
      </w:tr>
      <w:tr>
        <w:tc>
          <w:tcPr>
            <w:tcW w:type="dxa" w:w="5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6</w:t>
            </w:r>
          </w:p>
        </w:tc>
        <w:tc>
          <w:tcPr>
            <w:tcW w:type="dxa" w:w="30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Diagnóstico dirigido em Camareira e governança</w:t>
            </w:r>
          </w:p>
        </w:tc>
        <w:tc>
          <w:tcPr>
            <w:tcW w:type="dxa" w:w="43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Recomendação 28,6, falta 71%, intenção de saída 43% — os três piores da tabela</w:t>
            </w:r>
          </w:p>
        </w:tc>
        <w:tc>
          <w:tcPr>
            <w:tcW w:type="dxa" w:w="15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Baixo</w:t>
            </w:r>
          </w:p>
        </w:tc>
      </w:tr>
      <w:tr>
        <w:tc>
          <w:tcPr>
            <w:tcW w:type="dxa" w:w="5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7</w:t>
            </w:r>
          </w:p>
        </w:tc>
        <w:tc>
          <w:tcPr>
            <w:tcW w:type="dxa" w:w="30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Testar bônus por assiduidade combinado com folga adicional em piloto de uma função</w:t>
            </w:r>
          </w:p>
        </w:tc>
        <w:tc>
          <w:tcPr>
            <w:tcW w:type="dxa" w:w="43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Mais folgas é a alavanca mais citada (39,1%); bônus aparece em 15,2%</w:t>
            </w:r>
          </w:p>
        </w:tc>
        <w:tc>
          <w:tcPr>
            <w:tcW w:type="dxa" w:w="15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Médio — negociar com o cliente</w:t>
            </w:r>
          </w:p>
        </w:tc>
      </w:tr>
    </w:tbl>
    <w:p>
      <w:pPr>
        <w:pStyle w:val="Heading2"/>
        <w:spacing w:after="120" w:before="260"/>
      </w:pPr>
      <w:r>
        <w:t xml:space="preserve">11.1 O que medir na próxima temporada</w:t>
      </w:r>
    </w:p>
    <w:p>
      <w:pPr>
        <w:pStyle w:val="ListParagraph"/>
        <w:numPr>
          <w:ilvl w:val="0"/>
          <w:numId w:val="2"/>
        </w:numPr>
        <w:spacing w:after="80" w:line="276"/>
      </w:pPr>
      <w:r>
        <w:rPr>
          <w:rFonts w:ascii="Calibri" w:cs="Calibri" w:eastAsia="Calibri" w:hAnsi="Calibri"/>
          <w:sz w:val="21"/>
          <w:szCs w:val="21"/>
        </w:rPr>
        <w:t xml:space="preserve">Percentual de temporários que receberam a conversa do 3º e do 7º dia, e taxa de saída precoce nos dois grupos.</w:t>
      </w:r>
    </w:p>
    <w:p>
      <w:pPr>
        <w:pStyle w:val="ListParagraph"/>
        <w:numPr>
          <w:ilvl w:val="0"/>
          <w:numId w:val="2"/>
        </w:numPr>
        <w:spacing w:after="80" w:line="276"/>
      </w:pPr>
      <w:r>
        <w:rPr>
          <w:rFonts w:ascii="Calibri" w:cs="Calibri" w:eastAsia="Calibri" w:hAnsi="Calibri"/>
          <w:sz w:val="21"/>
          <w:szCs w:val="21"/>
        </w:rPr>
        <w:t xml:space="preserve">Erros de pagamento por folha, com meta de zero.</w:t>
      </w:r>
    </w:p>
    <w:p>
      <w:pPr>
        <w:pStyle w:val="ListParagraph"/>
        <w:numPr>
          <w:ilvl w:val="0"/>
          <w:numId w:val="2"/>
        </w:numPr>
        <w:spacing w:after="80" w:line="276"/>
      </w:pPr>
      <w:r>
        <w:rPr>
          <w:rFonts w:ascii="Calibri" w:cs="Calibri" w:eastAsia="Calibri" w:hAnsi="Calibri"/>
          <w:sz w:val="21"/>
          <w:szCs w:val="21"/>
        </w:rPr>
        <w:t xml:space="preserve">Faltas atribuídas a transporte, isoladas das demais no registro de ponto.</w:t>
      </w:r>
    </w:p>
    <w:p>
      <w:pPr>
        <w:pStyle w:val="ListParagraph"/>
        <w:numPr>
          <w:ilvl w:val="0"/>
          <w:numId w:val="2"/>
        </w:numPr>
        <w:spacing w:after="80" w:line="276"/>
      </w:pPr>
      <w:r>
        <w:rPr>
          <w:rFonts w:ascii="Calibri" w:cs="Calibri" w:eastAsia="Calibri" w:hAnsi="Calibri"/>
          <w:sz w:val="21"/>
          <w:szCs w:val="21"/>
        </w:rPr>
        <w:t xml:space="preserve">Índice de recomendação por função, comparável a este relatório.</w:t>
      </w:r>
    </w:p>
    <w:p>
      <w:pPr>
        <w:pStyle w:val="ListParagraph"/>
        <w:numPr>
          <w:ilvl w:val="0"/>
          <w:numId w:val="2"/>
        </w:numPr>
        <w:spacing w:after="80" w:line="276"/>
      </w:pPr>
      <w:r>
        <w:rPr>
          <w:rFonts w:ascii="Calibri" w:cs="Calibri" w:eastAsia="Calibri" w:hAnsi="Calibri"/>
          <w:sz w:val="21"/>
          <w:szCs w:val="21"/>
        </w:rPr>
        <w:t xml:space="preserve">Taxa de resposta da pesquisa, comparável aos 69,3% desta rodada.</w:t>
      </w:r>
    </w:p>
    <w:p>
      <w:pPr>
        <w:pStyle w:val="Heading2"/>
        <w:spacing w:after="120" w:before="260"/>
      </w:pPr>
      <w:r>
        <w:t xml:space="preserve">11.2 Correções no instrumento para a próxima rodada</w:t>
      </w:r>
    </w:p>
    <w:p>
      <w:pPr>
        <w:pStyle w:val="ListParagraph"/>
        <w:numPr>
          <w:ilvl w:val="0"/>
          <w:numId w:val="2"/>
        </w:numPr>
        <w:spacing w:after="80" w:line="276"/>
      </w:pPr>
      <w:r>
        <w:rPr>
          <w:rFonts w:ascii="Calibri" w:cs="Calibri" w:eastAsia="Calibri" w:hAnsi="Calibri"/>
          <w:sz w:val="21"/>
          <w:szCs w:val="21"/>
        </w:rPr>
        <w:t xml:space="preserve">Acrescentar “Não faltei nenhum dia” às perguntas de causa e de alavanca de falta — a ausência dessa opção produziu 46,3% de “Outro”.</w:t>
      </w:r>
    </w:p>
    <w:p>
      <w:pPr>
        <w:pStyle w:val="ListParagraph"/>
        <w:numPr>
          <w:ilvl w:val="0"/>
          <w:numId w:val="2"/>
        </w:numPr>
        <w:spacing w:after="80" w:line="276"/>
      </w:pPr>
      <w:r>
        <w:rPr>
          <w:rFonts w:ascii="Calibri" w:cs="Calibri" w:eastAsia="Calibri" w:hAnsi="Calibri"/>
          <w:sz w:val="21"/>
          <w:szCs w:val="21"/>
        </w:rPr>
        <w:t xml:space="preserve">Reduzir de 10 para 6 ou 7 páginas, agrupando blocos. O questionário funcionou, mas a queda de adesão em celular cresce com o número de telas.</w:t>
      </w:r>
    </w:p>
    <w:p>
      <w:pPr>
        <w:pStyle w:val="ListParagraph"/>
        <w:numPr>
          <w:ilvl w:val="0"/>
          <w:numId w:val="2"/>
        </w:numPr>
        <w:spacing w:after="80" w:line="276"/>
      </w:pPr>
      <w:r>
        <w:rPr>
          <w:rFonts w:ascii="Calibri" w:cs="Calibri" w:eastAsia="Calibri" w:hAnsi="Calibri"/>
          <w:sz w:val="21"/>
          <w:szCs w:val="21"/>
        </w:rPr>
        <w:t xml:space="preserve">Oferecer versão em espanhol. Há respondentes que escreveram em espanhol nas perguntas abertas.</w:t>
      </w:r>
    </w:p>
    <w:p>
      <w:pPr>
        <w:pStyle w:val="ListParagraph"/>
        <w:numPr>
          <w:ilvl w:val="0"/>
          <w:numId w:val="2"/>
        </w:numPr>
        <w:spacing w:after="80" w:line="276"/>
      </w:pPr>
      <w:r>
        <w:rPr>
          <w:rFonts w:ascii="Calibri" w:cs="Calibri" w:eastAsia="Calibri" w:hAnsi="Calibri"/>
          <w:sz w:val="21"/>
          <w:szCs w:val="21"/>
        </w:rPr>
        <w:t xml:space="preserve">Perguntar o mês ou a quinzena de início, para cruzar com a curva de absenteísmo por período.</w:t>
      </w:r>
    </w:p>
    <w:p>
      <w:pPr>
        <w:pStyle w:val="ListParagraph"/>
        <w:numPr>
          <w:ilvl w:val="0"/>
          <w:numId w:val="2"/>
        </w:numPr>
        <w:spacing w:after="80" w:line="276"/>
      </w:pPr>
      <w:r>
        <w:rPr>
          <w:rFonts w:ascii="Calibri" w:cs="Calibri" w:eastAsia="Calibri" w:hAnsi="Calibri"/>
          <w:sz w:val="21"/>
          <w:szCs w:val="21"/>
        </w:rPr>
        <w:t xml:space="preserve">Melhorar a separação da lista de disparo: 7 pessoas receberam o questionário do grupo errado.</w:t>
      </w:r>
    </w:p>
    <w:p>
      <w:pPr>
        <w:pStyle w:val="ListParagraph"/>
        <w:numPr>
          <w:ilvl w:val="0"/>
          <w:numId w:val="2"/>
        </w:numPr>
        <w:spacing w:after="80" w:line="276"/>
      </w:pPr>
      <w:r>
        <w:rPr>
          <w:rFonts w:ascii="Calibri" w:cs="Calibri" w:eastAsia="Calibri" w:hAnsi="Calibri"/>
          <w:sz w:val="21"/>
          <w:szCs w:val="21"/>
        </w:rPr>
        <w:t xml:space="preserve">Repetir a pergunta de triagem também no questionário de saída, para simetria.</w:t>
      </w:r>
    </w:p>
    <w:p>
      <w:r>
        <w:br w:type="page"/>
      </w:r>
    </w:p>
    <w:p>
      <w:pPr>
        <w:pStyle w:val="Heading1"/>
        <w:spacing w:after="160" w:before="320"/>
      </w:pPr>
      <w:r>
        <w:t xml:space="preserve">12. A aba Pesquisa no dashboard</w:t>
      </w:r>
    </w:p>
    <w:p>
      <w:pPr>
        <w:spacing w:after="120" w:line="276"/>
      </w:pPr>
      <w:r>
        <w:rPr>
          <w:rFonts w:ascii="Calibri" w:cs="Calibri" w:eastAsia="Calibri" w:hAnsi="Calibri"/>
          <w:color w:val="0B0B0B"/>
          <w:sz w:val="21"/>
          <w:szCs w:val="21"/>
        </w:rPr>
        <w:t xml:space="preserve">A aba já está implementada e aparece ao lado das demais. Ela segue a mesma arquitetura: uma função construir_pesquisa() devolve uma lista de blocos, a tela desenha esses blocos e o gerador de relatório percorre a mesma lista. Nada é escrito duas vezes, então painel e relatório não divergem — e os números deste documento saem do mesmo cálculo.</w:t>
      </w:r>
    </w:p>
    <w:p>
      <w:pPr>
        <w:pStyle w:val="Heading2"/>
        <w:spacing w:after="120" w:before="260"/>
      </w:pPr>
      <w:r>
        <w:t xml:space="preserve">12.1 Estrutura da aba, de cima para baixo</w:t>
      </w:r>
    </w:p>
    <w:tbl>
      <w:tblPr>
        <w:tblW w:type="dxa" w:w="9360"/>
        <w:tblBorders>
          <w:top w:val="single" w:color="D9D8D2" w:sz="2"/>
          <w:left w:val="single" w:color="D9D8D2" w:sz="2"/>
          <w:bottom w:val="single" w:color="D9D8D2" w:sz="2"/>
          <w:right w:val="single" w:color="D9D8D2" w:sz="2"/>
          <w:insideH w:val="single" w:color="EAE9E3" w:sz="2"/>
          <w:insideV w:val="single" w:color="EAE9E3" w:sz="2"/>
        </w:tblBorders>
      </w:tblPr>
      <w:tblGrid>
        <w:gridCol w:w="500"/>
        <w:gridCol w:w="2400"/>
        <w:gridCol w:w="6460"/>
      </w:tblGrid>
      <w:tr>
        <w:trPr>
          <w:tblHeader/>
        </w:trPr>
        <w:tc>
          <w:tcPr>
            <w:tcW w:type="dxa" w:w="50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w:t>
            </w:r>
          </w:p>
        </w:tc>
        <w:tc>
          <w:tcPr>
            <w:tcW w:type="dxa" w:w="240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Bloco</w:t>
            </w:r>
          </w:p>
        </w:tc>
        <w:tc>
          <w:tcPr>
            <w:tcW w:type="dxa" w:w="646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Conteúdo</w:t>
            </w:r>
          </w:p>
        </w:tc>
      </w:tr>
      <w:tr>
        <w:tc>
          <w:tcPr>
            <w:tcW w:type="dxa" w:w="5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1</w:t>
            </w:r>
          </w:p>
        </w:tc>
        <w:tc>
          <w:tcPr>
            <w:tcW w:type="dxa" w:w="24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Cabeçalho com indicadores</w:t>
            </w:r>
          </w:p>
        </w:tc>
        <w:tc>
          <w:tcPr>
            <w:tcW w:type="dxa" w:w="64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114 respostas · 64,0% de taxa de resposta · recomendação 68,4 · 98,2% voltariam · 43,3% faltaram</w:t>
            </w:r>
          </w:p>
        </w:tc>
      </w:tr>
      <w:tr>
        <w:tc>
          <w:tcPr>
            <w:tcW w:type="dxa" w:w="5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2</w:t>
            </w:r>
          </w:p>
        </w:tc>
        <w:tc>
          <w:tcPr>
            <w:tcW w:type="dxa" w:w="24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Quem respondeu</w:t>
            </w:r>
          </w:p>
        </w:tc>
        <w:tc>
          <w:tcPr>
            <w:tcW w:type="dxa" w:w="64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Barras de função e de posto, lado a lado, com o n em cada barra</w:t>
            </w:r>
          </w:p>
        </w:tc>
      </w:tr>
      <w:tr>
        <w:tc>
          <w:tcPr>
            <w:tcW w:type="dxa" w:w="5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3</w:t>
            </w:r>
          </w:p>
        </w:tc>
        <w:tc>
          <w:tcPr>
            <w:tcW w:type="dxa" w:w="24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Índice de recomendação</w:t>
            </w:r>
          </w:p>
        </w:tc>
        <w:tc>
          <w:tcPr>
            <w:tcW w:type="dxa" w:w="64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Barra empilhada de quem recomenda, é indiferente e não recomenda, e o índice por função ao lado</w:t>
            </w:r>
          </w:p>
        </w:tc>
      </w:tr>
      <w:tr>
        <w:tc>
          <w:tcPr>
            <w:tcW w:type="dxa" w:w="5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4</w:t>
            </w:r>
          </w:p>
        </w:tc>
        <w:tc>
          <w:tcPr>
            <w:tcW w:type="dxa" w:w="24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Por que se falta</w:t>
            </w:r>
          </w:p>
        </w:tc>
        <w:tc>
          <w:tcPr>
            <w:tcW w:type="dxa" w:w="64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Barras das causas, calculadas só sobre quem faltou, com o n no subtítulo</w:t>
            </w:r>
          </w:p>
        </w:tc>
      </w:tr>
      <w:tr>
        <w:tc>
          <w:tcPr>
            <w:tcW w:type="dxa" w:w="5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5</w:t>
            </w:r>
          </w:p>
        </w:tc>
        <w:tc>
          <w:tcPr>
            <w:tcW w:type="dxa" w:w="24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Preditor 1 — voz</w:t>
            </w:r>
          </w:p>
        </w:tc>
        <w:tc>
          <w:tcPr>
            <w:tcW w:type="dxa" w:w="64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Barras pareadas de taxa de falta e intenção de saída por nível</w:t>
            </w:r>
          </w:p>
        </w:tc>
      </w:tr>
      <w:tr>
        <w:tc>
          <w:tcPr>
            <w:tcW w:type="dxa" w:w="5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6</w:t>
            </w:r>
          </w:p>
        </w:tc>
        <w:tc>
          <w:tcPr>
            <w:tcW w:type="dxa" w:w="24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Preditor 2 — erro de pagamento</w:t>
            </w:r>
          </w:p>
        </w:tc>
        <w:tc>
          <w:tcPr>
            <w:tcW w:type="dxa" w:w="64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Mesmo formato, com a nota de correção mais barata</w:t>
            </w:r>
          </w:p>
        </w:tc>
      </w:tr>
      <w:tr>
        <w:tc>
          <w:tcPr>
            <w:tcW w:type="dxa" w:w="5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7</w:t>
            </w:r>
          </w:p>
        </w:tc>
        <w:tc>
          <w:tcPr>
            <w:tcW w:type="dxa" w:w="24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A janela da saída</w:t>
            </w:r>
          </w:p>
        </w:tc>
        <w:tc>
          <w:tcPr>
            <w:tcW w:type="dxa" w:w="64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Momento da decisão contra tempo até a saída efetiva</w:t>
            </w:r>
          </w:p>
        </w:tc>
      </w:tr>
      <w:tr>
        <w:tc>
          <w:tcPr>
            <w:tcW w:type="dxa" w:w="5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8</w:t>
            </w:r>
          </w:p>
        </w:tc>
        <w:tc>
          <w:tcPr>
            <w:tcW w:type="dxa" w:w="24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Matriz por função</w:t>
            </w:r>
          </w:p>
        </w:tc>
        <w:tc>
          <w:tcPr>
            <w:tcW w:type="dxa" w:w="64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Tabela com escala de cor: recomendação, faltou, pensou em sair e voltaria</w:t>
            </w:r>
          </w:p>
        </w:tc>
      </w:tr>
      <w:tr>
        <w:tc>
          <w:tcPr>
            <w:tcW w:type="dxa" w:w="5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9</w:t>
            </w:r>
          </w:p>
        </w:tc>
        <w:tc>
          <w:tcPr>
            <w:tcW w:type="dxa" w:w="24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Leitura da temporada</w:t>
            </w:r>
          </w:p>
        </w:tc>
        <w:tc>
          <w:tcPr>
            <w:tcW w:type="dxa" w:w="64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Texto interpretativo gerado a partir dos próprios números</w:t>
            </w:r>
          </w:p>
        </w:tc>
      </w:tr>
      <w:tr>
        <w:tc>
          <w:tcPr>
            <w:tcW w:type="dxa" w:w="5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10</w:t>
            </w:r>
          </w:p>
        </w:tc>
        <w:tc>
          <w:tcPr>
            <w:tcW w:type="dxa" w:w="24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Plano de ação</w:t>
            </w:r>
          </w:p>
        </w:tc>
        <w:tc>
          <w:tcPr>
            <w:tcW w:type="dxa" w:w="64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As seis primeiras ações da seção 11, divididas entre custo zero e estruturadas</w:t>
            </w:r>
          </w:p>
        </w:tc>
      </w:tr>
      <w:tr>
        <w:tc>
          <w:tcPr>
            <w:tcW w:type="dxa" w:w="5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11</w:t>
            </w:r>
          </w:p>
        </w:tc>
        <w:tc>
          <w:tcPr>
            <w:tcW w:type="dxa" w:w="24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Ficha técnica</w:t>
            </w:r>
          </w:p>
        </w:tc>
        <w:tc>
          <w:tcPr>
            <w:tcW w:type="dxa" w:w="64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Período, convites, respostas, regra de classificação e limitações</w:t>
            </w:r>
          </w:p>
        </w:tc>
      </w:tr>
    </w:tbl>
    <w:p>
      <w:pPr>
        <w:pStyle w:val="Heading2"/>
        <w:spacing w:after="120" w:before="260"/>
      </w:pPr>
      <w:r>
        <w:t xml:space="preserve">12.2 Filtros e proteção do anonimato</w:t>
      </w:r>
    </w:p>
    <w:p>
      <w:pPr>
        <w:spacing w:after="120" w:line="276"/>
      </w:pPr>
      <w:r>
        <w:rPr>
          <w:rFonts w:ascii="Calibri" w:cs="Calibri" w:eastAsia="Calibri" w:hAnsi="Calibri"/>
          <w:color w:val="0B0B0B"/>
          <w:sz w:val="21"/>
          <w:szCs w:val="21"/>
        </w:rPr>
        <w:t xml:space="preserve">Dois seletores no topo: grupo (todos / cumpriu a temporada / saiu antes do fim) e função. Todos os blocos recalculam. Recortes com menos de 5 respostas são suprimidos automaticamente — a regra está no código, não na disciplina de quem apresenta.</w:t>
      </w:r>
    </w:p>
    <w:p>
      <w:pPr>
        <w:pStyle w:val="Heading2"/>
        <w:spacing w:after="120" w:before="260"/>
      </w:pPr>
      <w:r>
        <w:t xml:space="preserve">12.3 Origem dos dados</w:t>
      </w:r>
    </w:p>
    <w:p>
      <w:pPr>
        <w:spacing w:after="120" w:line="276"/>
      </w:pPr>
      <w:r>
        <w:rPr>
          <w:rFonts w:ascii="Calibri" w:cs="Calibri" w:eastAsia="Calibri" w:hAnsi="Calibri"/>
          <w:color w:val="0B0B0B"/>
          <w:sz w:val="21"/>
          <w:szCs w:val="21"/>
        </w:rPr>
        <w:t xml:space="preserve">A aba lê o arquivo dados/pesquisa/RESPOSTAS_PESQUISA.xlsx, que é a exportação da planilha de respostas do Google Forms. A escolha pelo arquivo local, e não pelo CSV publicado, é deliberada: a coleta já encerrou, então atualização em tempo real não tem mais função, e a apresentação deixa de depender de conexão. O número apresentado passa a ser reproduzível — se um percentual for questionado daqui a duas semanas, o arquivo prova.</w:t>
      </w:r>
    </w:p>
    <w:p>
      <w:pPr>
        <w:spacing w:after="120" w:line="276"/>
      </w:pPr>
      <w:r>
        <w:rPr>
          <w:rFonts w:ascii="Calibri" w:cs="Calibri" w:eastAsia="Calibri" w:hAnsi="Calibri"/>
          <w:color w:val="0B0B0B"/>
          <w:sz w:val="21"/>
          <w:szCs w:val="21"/>
        </w:rPr>
        <w:t xml:space="preserve">Para atualizar depois de novas respostas, basta exportar a planilha de novo e substituir o arquivo com o mesmo nome. A aba some sozinha se o arquivo não existir, do mesmo modo que a aba da temporada.</w:t>
      </w:r>
    </w:p>
    <w:p>
      <w:pPr>
        <w:pStyle w:val="Heading2"/>
        <w:spacing w:after="120" w:before="260"/>
      </w:pPr>
      <w:r>
        <w:t xml:space="preserve">12.4 Exportação</w:t>
      </w:r>
    </w:p>
    <w:p>
      <w:pPr>
        <w:spacing w:after="120" w:line="276"/>
      </w:pPr>
      <w:r>
        <w:rPr>
          <w:rFonts w:ascii="Calibri" w:cs="Calibri" w:eastAsia="Calibri" w:hAnsi="Calibri"/>
          <w:color w:val="0B0B0B"/>
          <w:sz w:val="21"/>
          <w:szCs w:val="21"/>
        </w:rPr>
        <w:t xml:space="preserve">A aba entra automaticamente no painel “Exportar relatório”, nos dois formatos: PDF direto e HTML para imprimir com Ctrl+P. É possível exportar só a Pesquisa ou combiná-la com as demais seções. Os filtros aplicados na tela valem para o arquivo gerado.</w:t>
      </w:r>
    </w:p>
    <w:p>
      <w:pPr>
        <w:spacing w:before="400"/>
      </w:pPr>
      <w:r>
        <w:rPr>
          <w:rFonts w:ascii="Calibri" w:cs="Calibri" w:eastAsia="Calibri" w:hAnsi="Calibri"/>
          <w:i/>
          <w:iCs/>
          <w:color w:val="898781"/>
          <w:sz w:val="17"/>
          <w:szCs w:val="17"/>
        </w:rPr>
        <w:t xml:space="preserve">Mendes RH · Pesquisa de Experiência do Temporário · Temporada de julho de 2026</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0D366B"/>
      <w:sz w:val="32"/>
      <w:szCs w:val="32"/>
    </w:rPr>
  </w:style>
  <w:style w:type="paragraph" w:styleId="Heading2">
    <w:name w:val="Heading 2"/>
    <w:basedOn w:val="Normal"/>
    <w:next w:val="Normal"/>
    <w:qFormat/>
    <w:pPr>
      <w:spacing w:after="110" w:before="260"/>
    </w:pPr>
    <w:rPr>
      <w:rFonts w:ascii="Calibri" w:cs="Calibri" w:eastAsia="Calibri" w:hAnsi="Calibri"/>
      <w:b/>
      <w:bCs/>
      <w:color w:val="0B0B0B"/>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Resultados da Pesquisa de Experiência do Temporário</dc:title>
  <dc:creator>Mendes RH</dc:creator>
  <cp:lastModifiedBy>Un-named</cp:lastModifiedBy>
  <cp:revision>1</cp:revision>
  <dcterms:created xsi:type="dcterms:W3CDTF">2026-08-10T14:03:23.341Z</dcterms:created>
  <dcterms:modified xsi:type="dcterms:W3CDTF">2026-08-10T14:03:23.341Z</dcterms:modified>
</cp:coreProperties>
</file>

<file path=docProps/custom.xml><?xml version="1.0" encoding="utf-8"?>
<Properties xmlns="http://schemas.openxmlformats.org/officeDocument/2006/custom-properties" xmlns:vt="http://schemas.openxmlformats.org/officeDocument/2006/docPropsVTypes"/>
</file>