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INSTITUTO FEDERAL DO ESPÍRITO SANTO — CAMPUS SERRA</w:t>
        <w:br/>
      </w:r>
      <w:r>
        <w:rPr>
          <w:rFonts w:ascii="Times New Roman" w:hAnsi="Times New Roman"/>
          <w:sz w:val="21"/>
        </w:rPr>
        <w:t>Bacharelado em Sistemas de Informação</w:t>
        <w:br/>
        <w:t>Probabilidade e Estatística I (2026/2)</w:t>
      </w:r>
    </w:p>
    <w:p>
      <w:pPr>
        <w:spacing w:after="2400"/>
      </w:pPr>
    </w:p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Trabalho 1 — Máquina Estatística:</w:t>
        <w:br/>
        <w:t>Probabilidade, apostas e pensamento crítico</w:t>
      </w:r>
    </w:p>
    <w:p>
      <w:pPr>
        <w:spacing w:after="2800"/>
        <w:jc w:val="center"/>
      </w:pPr>
      <w:r>
        <w:rPr>
          <w:rFonts w:ascii="Times New Roman" w:hAnsi="Times New Roman"/>
          <w:i/>
          <w:sz w:val="22"/>
        </w:rPr>
        <w:t>Relatório técnico-científico</w:t>
      </w:r>
    </w:p>
    <w:p>
      <w:pPr>
        <w:spacing w:after="40"/>
        <w:jc w:val="center"/>
      </w:pPr>
      <w:r>
        <w:rPr>
          <w:rFonts w:ascii="Times New Roman" w:hAnsi="Times New Roman"/>
          <w:b/>
          <w:sz w:val="21"/>
        </w:rPr>
        <w:t>Integrantes do grupo</w:t>
        <w:br/>
      </w:r>
      <w:r>
        <w:rPr>
          <w:rFonts w:ascii="Times New Roman" w:hAnsi="Times New Roman"/>
          <w:sz w:val="21"/>
        </w:rPr>
        <w:t>João Victor Santos Araujo (20241BSI0319)</w:t>
        <w:br/>
        <w:t>João Victor Nascimento Ribeiro</w:t>
      </w:r>
    </w:p>
    <w:p>
      <w:pPr>
        <w:spacing w:after="1600"/>
      </w:pPr>
    </w:p>
    <w:p>
      <w:pPr>
        <w:jc w:val="center"/>
      </w:pPr>
      <w:r>
        <w:rPr>
          <w:rFonts w:ascii="Times New Roman" w:hAnsi="Times New Roman"/>
          <w:sz w:val="20"/>
        </w:rPr>
        <w:t>Professor: Dr. Fidelis Zanetti de Castro</w:t>
        <w:br/>
        <w:t>Serra — ES, outubro de 2026</w:t>
      </w:r>
    </w:p>
    <w:p>
      <w:r>
        <w:br w:type="page"/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A2850"/>
          <w:sz w:val="26"/>
        </w:rPr>
        <w:t>1. Desenvolvimento do simulador e do programa de teste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1.1 Visão geral da solução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O trabalho consiste no desenvolvimento de um simulador computacional completo e auditável da Máquina Estatística em linguagem Python 3.11, construído com arquitetura modular estrita para garantir separação límpida de responsabilidades entre regras matemáticas, sorteios estocásticos, análise estatística e exportação de resultados. A solução implementa com exatidão as regras públicas do enunciado: três rolos independentes com sequência circular R = (A, B, C, D, E) indexada de 0 a 4, visualização em janela 3 × 3 via aritmética modular mod 5 e avaliação de premiação exclusiva sobre a linha horizontal central.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máquina didática foi projetada sem caixas-pretas ou algoritmos de compensação oculta. Os sorteios pseudoaleatórios são executados através de instâncias isoladas da classe random.Random com algoritmo Mersenne Twister (MT19937), garantindo reprodutibilidade determinística absoluta a partir de sementes registradas. Para atender aos padrões acadêmicos do IFES e às recomendações do professor, a entrega disponibiliza múltiplos pontos de acesso: scripts de linha de comando com auto-instalação de dependências (executar.py), suíte completa de testes automatizados com pytest (23 asserções formais), cadernos interativos no Google Colab e um laboratório web completo com acessibilidade por teclado (WCAG) publicado no GitHub Pages.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1.2 Atuação de cada integrante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Em conformidade com a distribuição equitativa das atividades acadêmicas, a atuação dos discentes estruturou-se da seguinte forma: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type="dxa" w:w="3139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Matrícula</w:t>
            </w:r>
          </w:p>
        </w:tc>
        <w:tc>
          <w:tcPr>
            <w:tcW w:type="dxa" w:w="3139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Atividades desempenhadas</w:t>
            </w:r>
          </w:p>
        </w:tc>
      </w:tr>
      <w:tr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João Victor Santos Araujo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20241BSI0319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both"/>
            </w:pPr>
            <w:r>
              <w:rPr>
                <w:sz w:val="18"/>
              </w:rPr>
              <w:t>Modelagem matemática do espaço amostral, desenvolvimento da arquitetura modular em Python (src/), implementação dos Experimentos 1 a 5, codificação da suíte de 23 testes no pytest e estruturação do laboratório web.</w:t>
            </w:r>
          </w:p>
        </w:tc>
      </w:tr>
      <w:tr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João Victor Nascimento Ribeiro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20241BSI0300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both"/>
            </w:pPr>
            <w:r>
              <w:rPr>
                <w:sz w:val="18"/>
              </w:rPr>
              <w:t>Auditoria dos cálculos de esperança matemática e RTP, validação empírica dos cadernos Jupyter (00 a 05), conferência da reprodutibilidade determinística, revisão bibliográfica documental e dissertação do relatório técnico.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1.3 Uso de ferramentas de inteligência artificial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Em estrito cumprimento aos critérios éticos e às orientações do professor (Seção 8 e 10 do edital), a equipe detalha com absoluta transparência o uso assistido de ferramentas de IA generativa: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Ferramenta</w:t>
            </w:r>
          </w:p>
        </w:tc>
        <w:tc>
          <w:tcPr>
            <w:tcW w:type="dxa" w:w="3139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Em que etapa foi usada</w:t>
            </w:r>
          </w:p>
        </w:tc>
        <w:tc>
          <w:tcPr>
            <w:tcW w:type="dxa" w:w="3139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O que foi aceito, ajustado ou descartado</w:t>
            </w:r>
          </w:p>
        </w:tc>
      </w:tr>
      <w:tr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Google Antigravity &amp; Gemini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both"/>
            </w:pPr>
            <w:r>
              <w:rPr>
                <w:sz w:val="18"/>
              </w:rPr>
              <w:t>Arquitetura modular, testes unitários e acessibilidade visual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both"/>
            </w:pPr>
            <w:r>
              <w:rPr>
                <w:sz w:val="18"/>
              </w:rPr>
              <w:t>Auxiliou na prototipagem da separação de pacotes em Python, na criação das asserções do pytest para cobertura dos limites de parada e no CSS acessível da interface visual. Todo o código foi conferido, compilado e validado linha a linha pela equipe.</w:t>
            </w:r>
          </w:p>
        </w:tc>
      </w:tr>
      <w:tr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ChatGPT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both"/>
            </w:pPr>
            <w:r>
              <w:rPr>
                <w:sz w:val="18"/>
              </w:rPr>
              <w:t>Planejamento inicial dos cadernos Jupyter</w:t>
            </w:r>
          </w:p>
        </w:tc>
        <w:tc>
          <w:tcPr>
            <w:tcW w:type="dxa" w:w="31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both"/>
            </w:pPr>
            <w:r>
              <w:rPr>
                <w:sz w:val="18"/>
              </w:rPr>
              <w:t>Orientou a organização estrutural dos cadernos 00 a 05. Os blocos de código foram refinados para incluir salvaguarda de ambiente Colab e execução independente.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1.4 Repositório, experimentos online e execução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Conforme enfatizado pelo docente durante o acompanhamento da disciplina ('...colocando no corpo do relatório em PDF o link para os experimentos no Git Pages, no Colab, etc. Não esqueçam que a entrega é o relatório junto com os Scripts'), o grupo disponibilizou todas as instâncias em nuvem e em código aberto: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• Repositório Oficial no GitHub: </w:t>
      </w:r>
      <w:r>
        <w:rPr>
          <w:rFonts w:ascii="Times New Roman" w:hAnsi="Times New Roman"/>
        </w:rPr>
        <w:t>https://github.com/joaovictorsaraujo/maquina-estatistica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• Laboratório Interativo Web (GitHub Pages): </w:t>
      </w:r>
      <w:r>
        <w:rPr>
          <w:rFonts w:ascii="Times New Roman" w:hAnsi="Times New Roman"/>
        </w:rPr>
        <w:t>https://joaovictorsaraujo.github.io/maquina-estatistica/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• Cadernos no Google Colab: </w:t>
      </w:r>
      <w:r>
        <w:rPr>
          <w:rFonts w:ascii="Times New Roman" w:hAnsi="Times New Roman"/>
        </w:rPr>
        <w:t>Acesso direto a cada um dos experimentos em nuvem: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   - 00. Modelo Teórico: </w:t>
      </w:r>
      <w:r>
        <w:rPr>
          <w:rFonts w:ascii="Times New Roman" w:hAnsi="Times New Roman"/>
        </w:rPr>
        <w:t>https://colab.research.google.com/github/joaovictorsaraujo/maquina-estatistica/blob/master/notebooks/00_modelo_teorico.ipynb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   - 01. Frequências e RTP: </w:t>
      </w:r>
      <w:r>
        <w:rPr>
          <w:rFonts w:ascii="Times New Roman" w:hAnsi="Times New Roman"/>
        </w:rPr>
        <w:t>https://colab.research.google.com/github/joaovictorsaraujo/maquina-estatistica/blob/master/notebooks/01_frequencias_rtp.ipynb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   - 02. Grandes Números: </w:t>
      </w:r>
      <w:r>
        <w:rPr>
          <w:rFonts w:ascii="Times New Roman" w:hAnsi="Times New Roman"/>
        </w:rPr>
        <w:t>https://colab.research.google.com/github/joaovictorsaraujo/maquina-estatistica/blob/master/notebooks/02_convergencia_medias.ipynb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   - 03. Saldo Limitado: </w:t>
      </w:r>
      <w:r>
        <w:rPr>
          <w:rFonts w:ascii="Times New Roman" w:hAnsi="Times New Roman"/>
        </w:rPr>
        <w:t>https://colab.research.google.com/github/joaovictorsaraujo/maquina-estatistica/blob/master/notebooks/03_simulacao_jogadores.ipynb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   - 04. Independência: </w:t>
      </w:r>
      <w:r>
        <w:rPr>
          <w:rFonts w:ascii="Times New Roman" w:hAnsi="Times New Roman"/>
        </w:rPr>
        <w:t>https://colab.research.google.com/github/joaovictorsaraujo/maquina-estatistica/blob/master/notebooks/04_independencia.ipynb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   - 05. Pagamentos +10%: </w:t>
      </w:r>
      <w:r>
        <w:rPr>
          <w:rFonts w:ascii="Times New Roman" w:hAnsi="Times New Roman"/>
        </w:rPr>
        <w:t>https://colab.research.google.com/github/joaovictorsaraujo/maquina-estatistica/blob/master/notebooks/05_comparacao_pagamentos.ipynb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Estrutura resumida do pacote de scripts: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README.md — Documentação técnica, requisitos e declaração de IA.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executar.bat / executar.py — Inicializadores em 1 clique com auto-verificação de dependências.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index.html / interface_visual.html — SPA acessível em JavaScript + Chart.js para GitHub Pages.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src/maquina_estatistica/ — Módulos Python (modelo.py, simulacao.py, estatisticas.py, experimentos.py, graficos.py, exportacao.py, cli.py).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tests/ — Suíte de testes automatizados com pytest (23 testes unitários).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resultados/ — Arquivos CSV das tabelas e gráficos em PNG de alta resolução (300 DPI).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notebooks/ — Cadernos Jupyter auto-suficientes com auto-clone para execução no Google Colab.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Instruções de execução local (Terminal Windows / Linux):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• Executar rodada demonstrativa: </w:t>
      </w:r>
      <w:r>
        <w:rPr>
          <w:rFonts w:ascii="Times New Roman" w:hAnsi="Times New Roman"/>
        </w:rPr>
        <w:t>python executar.py --demo --seed 2026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• Executar todos os 5 experimentos e gerar CSVs/gráficos: </w:t>
      </w:r>
      <w:r>
        <w:rPr>
          <w:rFonts w:ascii="Times New Roman" w:hAnsi="Times New Roman"/>
        </w:rPr>
        <w:t>python executar.py --run-all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• Executar a suíte de 23 testes automatizados: </w:t>
      </w:r>
      <w:r>
        <w:rPr>
          <w:rFonts w:ascii="Times New Roman" w:hAnsi="Times New Roman"/>
        </w:rPr>
        <w:t>python -m pytest tests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A2850"/>
          <w:sz w:val="26"/>
        </w:rPr>
        <w:t>2. Análise matemática do modelo e complexidade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2.1 Modelo da máquina, espaço amostral e regras de pagamento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máquina utiliza cinco símbolos canônicos S = {A, B, C, D, E}. Em cada rodada, três rolos circulares independentes sorteiam paradas uniformes K_j em {0, 1, 2, 3, 4}, com probabilidade P(K_j = k) = 1/5 = 0,20. Cada coluna exibe os símbolos R[K_j] (topo), R[(K_j + 1) mod 5] (centro) e R[(K_j + 2) mod 5] (base).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regra do edital estabelece que exclusivamente a linha central gera pagamento, e unicamente quando os três símbolos centrais forem perfeitamente idênticos. O espaço amostral das triplas centrais possíveis contém |Ω| = 5 × 5 × 5 = 125 eventos elementares equiprováveis, cada um com probabilidade teórica: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  <w:b/>
        </w:rPr>
        <w:t xml:space="preserve">Probabilidade elementar: </w:t>
      </w:r>
      <w:r>
        <w:rPr>
          <w:rFonts w:ascii="Times New Roman" w:hAnsi="Times New Roman"/>
        </w:rPr>
        <w:t>P(tripla) = (1/5)³ = 1/125 = 0,008 (0,80%).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aposta custa 1,0 crédito fictício por rodada. Define-se P como a variável aleatória discreta do prêmio bruto e X = P - 1 como o lucro líquido auferido pelo apostador. A Tabela 1 consolida a distribuição de probabilidades do modelo: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Linha Central</w:t>
            </w:r>
          </w:p>
        </w:tc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Prêmio (P)</w:t>
            </w:r>
          </w:p>
        </w:tc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Lucro (X)</w:t>
            </w:r>
          </w:p>
        </w:tc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Prob. Teórica</w:t>
            </w:r>
          </w:p>
        </w:tc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%</w:t>
            </w:r>
          </w:p>
        </w:tc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Contrib. E[P]</w:t>
            </w:r>
          </w:p>
        </w:tc>
        <w:tc>
          <w:tcPr>
            <w:tcW w:type="dxa" w:w="1345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Contrib. E[X]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A–A–A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+4,0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1/125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+0,040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+0,032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B–B–B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+9,0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1/125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+0,080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+0,072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C–C–C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+14,0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1/125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+0,120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+0,112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D–D–D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+24,0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1/125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+0,200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+0,192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E–E–E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50,0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+49,0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1/125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+0,400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+0,392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Outras (120 triplas)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-1,0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120/125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96,00%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0,000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-0,960</w:t>
            </w:r>
          </w:p>
        </w:tc>
      </w:tr>
      <w:tr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Total / Esperança</w:t>
            </w:r>
          </w:p>
        </w:tc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—</w:t>
            </w:r>
          </w:p>
        </w:tc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—</w:t>
            </w:r>
          </w:p>
        </w:tc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125/125</w:t>
            </w:r>
          </w:p>
        </w:tc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100,00%</w:t>
            </w:r>
          </w:p>
        </w:tc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E[P] = 0,840</w:t>
            </w:r>
          </w:p>
        </w:tc>
        <w:tc>
          <w:tcPr>
            <w:tcW w:type="dxa" w:w="1345"/>
            <w:shd w:fill="F1F3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E[X] = -0,160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2.2 Esperança matemática, RTP e desmistificação das probabilidades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probabilidade teórica de receber qualquer prêmio é 5/125 = 4,00%. A esperança matemática pondera cada prêmio bruto e lucro líquido por sua probabilidade: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E[P] = (5 + 10 + 15 + 25 + 50) / 125 = 105 / 125 = 0,84 créditos/rodada;</w:t>
        <w:br/>
        <w:t>E[X] = E[P] - 1,00 = 0,84 - 1,00 = -0,16 créditos por rodada.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O Retorno Teórico ao Jogador (RTP) resulta em: RTP = (E[P] / Aposta) × 100% = 84,00%, definindo uma vantagem esperada da casa de 16,00%. A disciplina ensina que existe separação categórica entre: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Chance de Prêmio (4,00%): frequência em que ocorre qualquer ganho;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RTP (84,00%): proporção teórica do volume total apostado devolvida em prêmios no longo prazo;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Lucro Esperado (-0,16 créditos/rodada): taxa média contínua de drenagem de capital por jogada.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O RTP de 84% não representa uma promessa de que o apostador sairá de sua sessão com 84% do saldo inicial preservado.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2.3 Análise assintótica de complexidade dos algoritmos implementados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Seguindo o padrão de análise de algoritmos adotado pelo grupo, avaliou-se o custo computacional de cada operação desenvolvida no simulador: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Módulo / Método</w:t>
            </w:r>
          </w:p>
        </w:tc>
        <w:tc>
          <w:tcPr>
            <w:tcW w:type="dxa" w:w="2354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Instrução Principal</w:t>
            </w:r>
          </w:p>
        </w:tc>
        <w:tc>
          <w:tcPr>
            <w:tcW w:type="dxa" w:w="2354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Custo Unitário</w:t>
            </w:r>
          </w:p>
        </w:tc>
        <w:tc>
          <w:tcPr>
            <w:tcW w:type="dxa" w:w="2354"/>
            <w:shd w:fill="E9ECE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Repetições (Pior Caso)</w:t>
            </w:r>
          </w:p>
        </w:tc>
      </w:tr>
      <w:tr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sortear_rodada()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Sorteio de 3 paradas K mod 5 e avaliação da tripla central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O(1)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O(1) tempo estrito</w:t>
            </w:r>
          </w:p>
        </w:tc>
      </w:tr>
      <w:tr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simular_n_rodadas(N)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Laço iterativo de N rodadas independentes (E1 e E2)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O(1)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O(N) linear</w:t>
            </w:r>
          </w:p>
        </w:tc>
      </w:tr>
      <w:tr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simular_sessao_saldo()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Simulação com atualização B_{t+1} = B_t + X até limite/ruína (E3)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O(1)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O(R) onde R &lt;= 500</w:t>
            </w:r>
          </w:p>
        </w:tc>
      </w:tr>
      <w:tr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analisar_pares()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Varredura sequencial de N-1 pares consecutivos (E4)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O(1)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O(N) linear</w:t>
            </w:r>
          </w:p>
        </w:tc>
      </w:tr>
      <w:tr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recalcular_pagamentos()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Aplicação da Tabela +10% sobre resultados já sorteados (E5)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O(1)</w:t>
            </w:r>
          </w:p>
        </w:tc>
        <w:tc>
          <w:tcPr>
            <w:tcW w:type="dxa" w:w="23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O(N) linear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A2850"/>
          <w:sz w:val="26"/>
        </w:rPr>
        <w:t>3. Análise empírica e os cinco experimentos de Monte Carlo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3.1 Ambiente e metodologia de execução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Os experimentos foram executados e auditados em ambiente padronizado: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Processador / Hardware</w:t>
            </w:r>
          </w:p>
        </w:tc>
        <w:tc>
          <w:tcPr>
            <w:tcW w:type="dxa" w:w="47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Intel Core i5-10400F 2.90GHz / 16 GB DDR4</w:t>
            </w:r>
          </w:p>
        </w:tc>
      </w:tr>
      <w:tr>
        <w:tc>
          <w:tcPr>
            <w:tcW w:type="dxa" w:w="4709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Sistema Operacional</w:t>
            </w:r>
          </w:p>
        </w:tc>
        <w:tc>
          <w:tcPr>
            <w:tcW w:type="dxa" w:w="47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Windows 11 Home (64 bits) / Linux Ubuntu 22.04 LTS</w:t>
            </w:r>
          </w:p>
        </w:tc>
      </w:tr>
      <w:tr>
        <w:tc>
          <w:tcPr>
            <w:tcW w:type="dxa" w:w="4709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Ambiente de Execução</w:t>
            </w:r>
          </w:p>
        </w:tc>
        <w:tc>
          <w:tcPr>
            <w:tcW w:type="dxa" w:w="47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Python 3.11.9 (64-bit)</w:t>
            </w:r>
          </w:p>
        </w:tc>
      </w:tr>
      <w:tr>
        <w:tc>
          <w:tcPr>
            <w:tcW w:type="dxa" w:w="4709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Gerador Pseudoaleatório</w:t>
            </w:r>
          </w:p>
        </w:tc>
        <w:tc>
          <w:tcPr>
            <w:tcW w:type="dxa" w:w="47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random.Random (Mersenne Twister MT19937)</w:t>
            </w:r>
          </w:p>
        </w:tc>
      </w:tr>
      <w:tr>
        <w:tc>
          <w:tcPr>
            <w:tcW w:type="dxa" w:w="4709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Bibliotecas Analíticas</w:t>
            </w:r>
          </w:p>
        </w:tc>
        <w:tc>
          <w:tcPr>
            <w:tcW w:type="dxa" w:w="47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NumPy 1.26.4, Pandas 2.2.2, Matplotlib 3.8.4, SciPy 1.13.0</w:t>
            </w:r>
          </w:p>
        </w:tc>
      </w:tr>
      <w:tr>
        <w:tc>
          <w:tcPr>
            <w:tcW w:type="dxa" w:w="4709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Suíte de Testes</w:t>
            </w:r>
          </w:p>
        </w:tc>
        <w:tc>
          <w:tcPr>
            <w:tcW w:type="dxa" w:w="47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pytest 8.1.1 (23 testes automatizados aprovados)</w:t>
            </w:r>
          </w:p>
        </w:tc>
      </w:tr>
      <w:tr>
        <w:tc>
          <w:tcPr>
            <w:tcW w:type="dxa" w:w="4709"/>
          </w:tcPr>
          <w:p/>
        </w:tc>
        <w:tc>
          <w:tcPr>
            <w:tcW w:type="dxa" w:w="4709"/>
          </w:tcPr>
          <w:p/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3.2 Experimento 1: As frequências acompanham as probabilidades?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Executaram-se N = 10.000 rodadas com semente 2026 sem regras de saldo. Todas as contagens somaram exatamente 10.000 (frequência relativa acumulada 1,000000). O desvio-padrão amostral foi calculado com divisor N - 1 (s = 5,2750 créditos).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Categoria Central</w:t>
            </w:r>
          </w:p>
        </w:tc>
        <w:tc>
          <w:tcPr>
            <w:tcW w:type="dxa" w:w="1570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Lucro X</w:t>
            </w:r>
          </w:p>
        </w:tc>
        <w:tc>
          <w:tcPr>
            <w:tcW w:type="dxa" w:w="1570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Prob. Teórica</w:t>
            </w:r>
          </w:p>
        </w:tc>
        <w:tc>
          <w:tcPr>
            <w:tcW w:type="dxa" w:w="1570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Contagem</w:t>
            </w:r>
          </w:p>
        </w:tc>
        <w:tc>
          <w:tcPr>
            <w:tcW w:type="dxa" w:w="1570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Freq. Observada</w:t>
            </w:r>
          </w:p>
        </w:tc>
        <w:tc>
          <w:tcPr>
            <w:tcW w:type="dxa" w:w="1570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Diferença</w:t>
            </w:r>
          </w:p>
        </w:tc>
      </w:tr>
      <w:tr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Sem prêmio (120 triplas)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-1,0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96,00%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9.588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95,88%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-0,12 p.p.</w:t>
            </w:r>
          </w:p>
        </w:tc>
      </w:tr>
      <w:tr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A–A–A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+4,0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0,77%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-0,03 p.p.</w:t>
            </w:r>
          </w:p>
        </w:tc>
      </w:tr>
      <w:tr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B–B–B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+9,0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0,88%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+0,08 p.p.</w:t>
            </w:r>
          </w:p>
        </w:tc>
      </w:tr>
      <w:tr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C–C–C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+14,0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0,78%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-0,02 p.p.</w:t>
            </w:r>
          </w:p>
        </w:tc>
      </w:tr>
      <w:tr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D–D–D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+24,0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0,88%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+0,08 p.p.</w:t>
            </w:r>
          </w:p>
        </w:tc>
      </w:tr>
      <w:tr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E–E–E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+49,0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0,80%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0,81%</w:t>
            </w:r>
          </w:p>
        </w:tc>
        <w:tc>
          <w:tcPr>
            <w:tcW w:type="dxa" w:w="157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+0,01 p.p.</w:t>
            </w:r>
          </w:p>
        </w:tc>
      </w:tr>
    </w:tbl>
    <w:p>
      <w:pPr>
        <w:spacing w:line="300" w:lineRule="auto" w:after="80"/>
        <w:jc w:val="both"/>
      </w:pPr>
      <w:r>
        <w:rPr>
          <w:rFonts w:ascii="Times New Roman" w:hAnsi="Times New Roman"/>
        </w:rPr>
        <w:t>Métricas Amostrais Observadas: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Lucro Médio Amostral: X̄ = -0,1315 créditos/rodada (referência teórica: -0,1600).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RTP Observado: 86,85% (referência teórica: 84,00%).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Proporção de Rodadas Premiadas: 4,12% (referência teórica: 4,00%).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Desvio-Padrão Amostral s (divisor N-1): 5,2750 créditos.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</w:rPr>
        <w:t>Intervalo de Confiança de 95% para o Lucro Médio: [-0,2349; -0,0281] créditos (contém a esperança teórica -0,16).</w:t>
      </w:r>
    </w:p>
    <w:p>
      <w:pPr>
        <w:spacing w:before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15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teoria_vs_observ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3.1. Distribuição teórica vs. observada das frequências relativas nas 10.000 rodadas (E1).</w:t>
        <w:br/>
        <w:t>Fonte: Dados da simulação do grupo (01_frequencias_rtp.ipynb).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3.3 Experimento 2: O que muda quando aumentamos a amostra?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Executaram-se três sequências independentes de 10.000 rodadas com sementes 10, 2026 e 123456. A sequência da semente 2026 foi estritamente reutilizada do Experimento 1. Avaliaram-se as médias acumuladas nos horizontes N = 100, 1.000 e 10.000: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Semente</w:t>
            </w:r>
          </w:p>
        </w:tc>
        <w:tc>
          <w:tcPr>
            <w:tcW w:type="dxa" w:w="235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 = 100 rodadas</w:t>
            </w:r>
          </w:p>
        </w:tc>
        <w:tc>
          <w:tcPr>
            <w:tcW w:type="dxa" w:w="235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 = 1.000 rodadas</w:t>
            </w:r>
          </w:p>
        </w:tc>
        <w:tc>
          <w:tcPr>
            <w:tcW w:type="dxa" w:w="235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 = 10.000 rodadas</w:t>
            </w:r>
          </w:p>
        </w:tc>
      </w:tr>
      <w:tr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Seed 10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-0,7000 créditos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-0,0550 créditos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-0,0960 créditos</w:t>
            </w:r>
          </w:p>
        </w:tc>
      </w:tr>
      <w:tr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Seed 2026 (Reutilizada E1)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+0,2000 créditos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-0,2200 créditos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-0,1315 créditos</w:t>
            </w:r>
          </w:p>
        </w:tc>
      </w:tr>
      <w:tr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Seed 123456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+0,2000 créditos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-0,0700 créditos</w:t>
            </w:r>
          </w:p>
        </w:tc>
        <w:tc>
          <w:tcPr>
            <w:tcW w:type="dxa" w:w="235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-0,2215 créditos</w:t>
            </w:r>
          </w:p>
        </w:tc>
      </w:tr>
    </w:tbl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Auditoria de Reprodutibilidade: Os 10 primeiros sorteios de uma nova execução com a semente 2026 foram conferidos e confirmaram 100% de coincidência determinística com a sequência original.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Interpretação: A Lei dos Grandes Números estabelece convergência estocástica em probabilidade para a esperança -0,16. Não há aproximação monótona nem compensação intencional da máquina após fases positivas.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15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medias_acumul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3.2. Trajetórias das médias acumuladas para as 3 sementes e linha de referência -0,16 (E2).</w:t>
        <w:br/>
        <w:t>Fonte: Dados da simulação do grupo (02_convergencia_medias.ipynb).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3.4 Experimento 3: O que acontece com um saldo limitado?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Simularam-se 100 participantes virtuais com capital inicial B_0 = 100 créditos e aposta de 1 crédito, limitados a 500 rodadas ou parada por esgotamento (B &lt; 1). O gerador utilizou a semente 42 iniciada uma única vez e mantida contínua: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Categoria de Desfecho</w:t>
            </w:r>
          </w:p>
        </w:tc>
        <w:tc>
          <w:tcPr>
            <w:tcW w:type="dxa" w:w="3139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Condição Matemática</w:t>
            </w:r>
          </w:p>
        </w:tc>
        <w:tc>
          <w:tcPr>
            <w:tcW w:type="dxa" w:w="3139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Proporção Observada</w:t>
            </w:r>
          </w:p>
        </w:tc>
      </w:tr>
      <w:tr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Ganho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Saldo Final B_f &gt; 100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23 participantes (23,0%)</w:t>
            </w:r>
          </w:p>
        </w:tc>
      </w:tr>
      <w:tr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Empate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Saldo Final B_f = 100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2 participantes (2,0%)</w:t>
            </w:r>
          </w:p>
        </w:tc>
      </w:tr>
      <w:tr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Perda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Saldo Final B_f &lt; 100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75 participantes (75,0%)</w:t>
            </w:r>
          </w:p>
        </w:tc>
      </w:tr>
      <w:tr>
        <w:tc>
          <w:tcPr>
            <w:tcW w:type="dxa" w:w="3139"/>
            <w:shd w:fill="F1F3F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Soma das 3 Categorias</w:t>
            </w:r>
          </w:p>
        </w:tc>
        <w:tc>
          <w:tcPr>
            <w:tcW w:type="dxa" w:w="3139"/>
            <w:shd w:fill="F1F3F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G + E + P = 100%</w:t>
            </w:r>
          </w:p>
        </w:tc>
        <w:tc>
          <w:tcPr>
            <w:tcW w:type="dxa" w:w="3139"/>
            <w:shd w:fill="F1F3F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100 participantes (100,0%)</w:t>
            </w:r>
          </w:p>
        </w:tc>
      </w:tr>
      <w:tr>
        <w:tc>
          <w:tcPr>
            <w:tcW w:type="dxa" w:w="3139"/>
            <w:shd w:fill="FFF3CD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Taxa de Esgotamento (Ruína)</w:t>
            </w:r>
          </w:p>
        </w:tc>
        <w:tc>
          <w:tcPr>
            <w:tcW w:type="dxa" w:w="3139"/>
            <w:shd w:fill="FFF3CD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Saldo Final B_f &lt; 1 (subconjunto de perda)</w:t>
            </w:r>
          </w:p>
        </w:tc>
        <w:tc>
          <w:tcPr>
            <w:tcW w:type="dxa" w:w="3139"/>
            <w:shd w:fill="FFF3CD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67 participantes (67,0%)</w:t>
            </w:r>
          </w:p>
        </w:tc>
      </w:tr>
    </w:tbl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Contraste entre Média e Mediana: Saldo Médio Final = 52,10 créditos | Saldo Mediano Final = 0,00 créditos (máximo de 390 créditos; duração média de 339,9 rodadas).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assimetria entre a média (52,10) e a mediana (0,00) evidencia o viés de sobrevivência: a minoria que obtém ganhos expressivos (23%) alimenta relatos públicos, ocultando a ruína total de 67% dos participantes.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15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sal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3.3. Trajetórias dos 5 primeiros participantes e distribuição de saldos finais (E3).</w:t>
        <w:br/>
        <w:t>Fonte: Dados da simulação do grupo (03_simulacao_jogadores.ipynb).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3.5 Experimento 4: Depois de perder, aumenta a chance de ganhar?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Reutilizaram-se as 10.000 rodadas do Experimento 1 para examinar os 9.999 pares consecutivos. O código trata preventivamente eventuais casos de divisão por zero: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Condição Anterior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Total de Pares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Prêmios na Seguinte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Proporção Observada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Referência Teórica</w:t>
            </w:r>
          </w:p>
        </w:tc>
      </w:tr>
      <w:tr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Após rodada premiada (P &gt; 0)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412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4,13%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4,00%</w:t>
            </w:r>
          </w:p>
        </w:tc>
      </w:tr>
      <w:tr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Após ausência de prêmio (P = 0)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9.587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395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4,12%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4,00%</w:t>
            </w:r>
          </w:p>
        </w:tc>
      </w:tr>
    </w:tbl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Interpretação: As proporções observadas (4,13% e 4,12%) são virtualmente idênticas e convergem à referência teórica de independência P(G_{i+1}) = 4,00%. Refuta-se empiricamente a Falácia do Jogador: a máquina não possui dívidas de premiação após sequências perdedoras.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3.6 Experimento 5: Prêmios maiores tornam o jogo favorável?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Aplicaram-se a Tabela Base e a Tabela com pagamentos acrescidos em +10% aos mesmos 10.000 sorteios do Experimento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Configuração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Prob. Vitória (Teo / Obs)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Prêmio Médio (Teo / Obs)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Lucro Médio (Teo / Obs)</w:t>
            </w:r>
          </w:p>
        </w:tc>
        <w:tc>
          <w:tcPr>
            <w:tcW w:type="dxa" w:w="1884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RTP (Teo / Obs)</w:t>
            </w:r>
          </w:p>
        </w:tc>
      </w:tr>
      <w:tr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Tabela Base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4,00% / 4,12%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0,8400 / 0,8685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-0,1600 / -0,1315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84,00% / 86,85%</w:t>
            </w:r>
          </w:p>
        </w:tc>
      </w:tr>
      <w:tr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Tabela +10%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4,00% / 4,12%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0,9240 / 0,9554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-0,0760 / -0,0447</w:t>
            </w:r>
          </w:p>
        </w:tc>
        <w:tc>
          <w:tcPr>
            <w:tcW w:type="dxa" w:w="18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92,40% / 95,53%</w:t>
            </w:r>
          </w:p>
        </w:tc>
      </w:tr>
    </w:tbl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Interpretação: O acréscimo de 10% eleva o RTP para 92,4% e reduz a velocidade de perda, mas não altera a chance de prêmio (continua 4,00%) e não torna o lucro esperado positivo (-0,076 &lt; 0). Pagar mais e gerar expectativa positiva são propriedades estocásticas distintas.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074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omparacao_tabe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7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3.4. Comparação entre Tabela Base e Tabela +10% sobre os mesmos 10.000 resultados (E5).</w:t>
        <w:br/>
        <w:t>Fonte: Dados da simulação do grupo (05_comparacao_pagamentos.ipynb).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A2850"/>
          <w:sz w:val="26"/>
        </w:rPr>
        <w:t>4. Da evidência à discussão crítica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4.1 Mecanismo matemático e reforço psicológico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sustentação econômica dos jogos de azar baseia-se na dissonância entre a experiência subjetiva imediata e as leis assintóticas da probabilidade. Conforme demonstrado nos Experimentos 1 e 3, a alta variância das premiações esporádicas (vitórias de até 50x) atua como reforço intermitente de razão variável. O apostador memoriza com intensidade os episódios de vitória e ignora as perdas miúdas e rotineiras de 1 crédito, operando sob uma taxa determinística de perda de -0,16 créditos por rodada.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4.2 Renda familiar, saúde pública e distinção metodológica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síntese internacional da The Lancet Public Health Commission (Wardle et al., 2024) documentou uma prevalência de 15,8% de jogo problemático ou transtorno do jogo entre adultos usuários de cassinos on-line e rolos virtuais. No cenário nacional, o caderno temático do LENAD III (Unifesp/Uniad, 2025) demonstrou que as apostas comprometem desproporcionalmente o orçamento de famílias vulneráveis, drenando recursos destinados à alimentação e despesas essenciais.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É crucial registrar os limites metodológicos da inferência: simulações computacionais demonstram propriedades matemáticas de um modelo abstrato com regras conhecidas. Já os transtornos comportamentais reais exigem diagnóstico clínico individualizado e pesquisa de amostragem probabilística populacional. Uma rodada perdida no simulador não equivale a um diagnóstico médico.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4.3 Auditoria crítica dos dados públicos e o debate regulatório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Para qualificar o debate público sem mistificações numéricas, confrontam-se as três estimativas correntes no Brasil: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Fonte / Órgão</w:t>
            </w:r>
          </w:p>
        </w:tc>
        <w:tc>
          <w:tcPr>
            <w:tcW w:type="dxa" w:w="3139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Valor Noticiado</w:t>
            </w:r>
          </w:p>
        </w:tc>
        <w:tc>
          <w:tcPr>
            <w:tcW w:type="dxa" w:w="3139"/>
            <w:shd w:fill="E9ECE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Interpretação Metodológica Rigorosa</w:t>
            </w:r>
          </w:p>
        </w:tc>
      </w:tr>
      <w:tr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Banco Central (2024)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R$ 18–21 bilhões/mês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both"/>
            </w:pPr>
            <w:r>
              <w:rPr>
                <w:sz w:val="17"/>
              </w:rPr>
              <w:t>Mede transferências brutas via Pix para as plataformas. Não equivale à perda líquida das famílias.</w:t>
            </w:r>
          </w:p>
        </w:tc>
      </w:tr>
      <w:tr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TCU (1º sem. 2025)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R$ 17,4 bilhões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both"/>
            </w:pPr>
            <w:r>
              <w:rPr>
                <w:sz w:val="17"/>
              </w:rPr>
              <w:t>Receita bruta do jogo (GGR = Apostas - Prêmios). Reflete a retenção da banca antes de custos e impostos.</w:t>
            </w:r>
          </w:p>
        </w:tc>
      </w:tr>
      <w:tr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IEPS (2025)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R$ 38,8 bilhões/ano</w:t>
            </w:r>
          </w:p>
        </w:tc>
        <w:tc>
          <w:tcPr>
            <w:tcW w:type="dxa" w:w="313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both"/>
            </w:pPr>
            <w:r>
              <w:rPr>
                <w:sz w:val="17"/>
              </w:rPr>
              <w:t>Estimativa de custos sociais intangíveis e valoração de incapacidade em saúde. Não são contas pagas pelo SUS.</w:t>
            </w:r>
          </w:p>
        </w:tc>
      </w:tr>
    </w:tbl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O debate em torno da MP nº 1.394/2026 contrapõe a defesa da saúde pública e proteção dos vulneráveis à contestação jurídica de segurança de investimentos e ao risco concreto de evasão de usuários para plataformas ilegais — falha de monitoramento já advertida formalmente pelo Tribunal de Contas da União (TCU, Acórdão 1296/2026).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4.4 Responsabilidade ética dos profissionais de sistemas de informação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Desenvolvedores de software e cientistas de dados possuem responsabilidade direta sobre a transparência das interfaces. A indústria comercial de slots digitais apoia-se deliberadamente em padrões escuros (dark patterns), como celebrações sonoras em perdas disfarçadas de vitórias e quase-vitórias visuais (near misses). Compete à ética da engenharia exigir regras públicas, exibição transparente do valor esperado e salvaguardas de limitação de tempo e perdas.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A2850"/>
          <w:sz w:val="26"/>
        </w:rPr>
        <w:t>5. Considerações finais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investigação respondeu de forma categórica à pergunta fundamental do trabalho: ganhos ocasionais coexistem harmonicamente com a perda esperada porque derivam de grandezas estatísticas distintas. A vitória eventual é um evento visível que pertence ao espaço amostral; a perda contínua é uma propriedade estrutural da esperança matemática negativa (E[X] = -0,16 por rodada).</w:t>
      </w:r>
    </w:p>
    <w:p>
      <w:pPr>
        <w:spacing w:line="300" w:lineRule="auto" w:after="80"/>
        <w:ind w:firstLine="576"/>
        <w:jc w:val="both"/>
      </w:pPr>
      <w:r>
        <w:rPr>
          <w:rFonts w:ascii="Times New Roman" w:hAnsi="Times New Roman"/>
        </w:rPr>
        <w:t>A Lei dos Grandes Números comprovou que o aumento do volume de jogadas não 'compensa' perdas passadas, mas consolida a retenção da banca. Em horizontes finitos com capital restrito, a ruína é o destino de 67% dos participantes, demonstrando que aleatoriedade e independência não significam igualdade econômica. A compreensão estatística constitui o principal antídoto contra o endividamento e a manipulação comportamental.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A2850"/>
          <w:sz w:val="26"/>
        </w:rPr>
        <w:t>6. Registro de pontos extras atendidos e referências bibliográficas</w:t>
      </w:r>
    </w:p>
    <w:p>
      <w:pPr>
        <w:spacing w:line="300" w:lineRule="auto" w:after="80"/>
        <w:jc w:val="both"/>
      </w:pPr>
      <w:r>
        <w:rPr>
          <w:rFonts w:ascii="Times New Roman" w:hAnsi="Times New Roman"/>
        </w:rPr>
        <w:t>Em conformidade com a Seção 10 do edital (até 20 pontos extras), o trabalho apresenta evidências nos seguintes critérios: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1. Intervalos de Confiança (+4 pts): </w:t>
      </w:r>
      <w:r>
        <w:rPr>
          <w:rFonts w:ascii="Times New Roman" w:hAnsi="Times New Roman"/>
        </w:rPr>
        <w:t>Cálculo do IC 95% para o lucro médio no E1 ([-0,2349; -0,0281]).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2. Interface Acessível (+3 pts): </w:t>
      </w:r>
      <w:r>
        <w:rPr>
          <w:rFonts w:ascii="Times New Roman" w:hAnsi="Times New Roman"/>
        </w:rPr>
        <w:t>Navegação completa por teclado (tecla Espaço para girar), alto contraste e ARIA no simulador web.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3. Validação Automatizada (+3 pts): </w:t>
      </w:r>
      <w:r>
        <w:rPr>
          <w:rFonts w:ascii="Times New Roman" w:hAnsi="Times New Roman"/>
        </w:rPr>
        <w:t>Suíte com 23 testes unitários com pytest cobrindo regras, limites e determinismo.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4. Educação Científica (+3 pts): </w:t>
      </w:r>
      <w:r>
        <w:rPr>
          <w:rFonts w:ascii="Times New Roman" w:hAnsi="Times New Roman"/>
        </w:rPr>
        <w:t>Simulador público interativo no GitHub Pages explicando conceitos estatísticos.</w:t>
      </w:r>
    </w:p>
    <w:p>
      <w:pPr>
        <w:pStyle w:val="ListBullet"/>
        <w:spacing w:after="40" w:line="288" w:lineRule="auto"/>
      </w:pPr>
      <w:r>
        <w:rPr>
          <w:rFonts w:ascii="Times New Roman" w:hAnsi="Times New Roman"/>
          <w:b/>
        </w:rPr>
        <w:t xml:space="preserve">5. Auditoria de Afirmação Pública (+3 pts): </w:t>
      </w:r>
      <w:r>
        <w:rPr>
          <w:rFonts w:ascii="Times New Roman" w:hAnsi="Times New Roman"/>
        </w:rPr>
        <w:t>Análise metodológica minuciosa dos números do BC, TCU e IEPS na Seção 4.3.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3C6E"/>
          <w:sz w:val="23"/>
        </w:rPr>
        <w:t>Referências Bibliográficas (Normas ABNT)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BAKER, S. R. et al. Gambling Away Stability: Sports Betting’s Impact on Vulnerable Households. NBER Working Paper n. 33108, nov. 2024.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BANCO CENTRAL DO BRASIL. Análise técnica sobre o mercado de apostas online no Brasil e o perfil dos apostadores. Nota Técnica 513/2024, set. 2024.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BRASIL. Lei nº 14.790, de 29 de dezembro de 2023. Marco legal das apostas de quota fixa. Diário Oficial da União, Brasília, DF, 2023.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BRASIL. Presidência da República. Medida Provisória nº 1.394, de 25 de setembro de 2026. Proibição de apostas de quota fixa. Brasília, DF, 2026.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ILLOWSKY, B.; DEAN, S. Introductory Statistics 2e. Houston: OpenStax, 2023. Capítulos 1 a 4 e 8.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ROSA, D. et al. A saúde dos brasileiros em jogo: análise político-econômica da regulamentação de apostas online. São Paulo: IEPS, 2025.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TRIBUNAL DE CONTAS DA UNIÃO (TCU). Acórdão nº 1296/2026 – Plenário. Fiscalização de casas de apostas ilegais. Brasília: TCU, maio 2026.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UNIVERSIDADE FEDERAL DE SÃO PAULO (UNIFESP); UNIAD. Caderno Temático LENAD III: jogos de aposta na população brasileira. São Paulo: UNIAD, 2025.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WARDLE, H. et al. The Lancet Public Health Commission on gambling. The Lancet Public Health, v. 9, p. e950–e994, 2024.</w:t>
      </w:r>
    </w:p>
    <w:p>
      <w:pPr>
        <w:spacing w:after="60"/>
        <w:ind w:left="432" w:hanging="432"/>
      </w:pPr>
      <w:r>
        <w:rPr>
          <w:rFonts w:ascii="Times New Roman" w:hAnsi="Times New Roman"/>
          <w:sz w:val="17"/>
        </w:rPr>
        <w:t>WORLD HEALTH ORGANIZATION (WHO). Gambling: public health responses and risk factors. Genebra: WHO, 2024.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