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Ausência de sanções impeditivas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declara, após consulta às fontes pertinentes, que não possui sanção vigente que impeça sua participação neste certame. Cadastros consultados e data: {{CADASTROS_E_DATA}}.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Ausência de sanções impeditivas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