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</w:p>
    <w:p w:rsidR="001E01CF" w:rsidRDefault="004A190D" w:rsidP="004A190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4A190D">
        <w:rPr>
          <w:rFonts w:ascii="Arial" w:hAnsi="Arial" w:cs="Arial"/>
          <w:sz w:val="16"/>
          <w:szCs w:val="16"/>
        </w:rPr>
        <w:t/>
      </w:r>
    </w:p>
    <w:p w:rsidR="004A190D" w:rsidRDefault="004A190D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72DB" w:rsidRDefault="006972DB">
      <w:pPr>
        <w:spacing w:line="240" w:lineRule="auto"/>
      </w:pPr>
      <w:r>
        <w:separator/>
      </w:r>
    </w:p>
  </w:endnote>
  <w:endnote w:type="continuationSeparator" w:id="0">
    <w:p w:rsidR="006972DB" w:rsidRDefault="00697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72DB" w:rsidRDefault="006972DB">
      <w:pPr>
        <w:spacing w:after="0"/>
      </w:pPr>
      <w:r>
        <w:separator/>
      </w:r>
    </w:p>
  </w:footnote>
  <w:footnote w:type="continuationSeparator" w:id="0">
    <w:p w:rsidR="006972DB" w:rsidRDefault="006972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972DB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48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