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4F26"/>
          <w:sz w:val="21"/>
        </w:rPr>
        <w:t>ClavaMetrics</w:t>
      </w:r>
    </w:p>
    <w:p>
      <w:r>
        <w:rPr>
          <w:b/>
          <w:sz w:val="42"/>
        </w:rPr>
        <w:t>Respuestas al cuestionario técnico y operativo</w:t>
      </w:r>
    </w:p>
    <w:p>
      <w:r>
        <w:rPr>
          <w:b w:val="0"/>
          <w:color w:val="5C6B62"/>
          <w:sz w:val="20"/>
        </w:rPr>
        <w:t>18 de septiembre de 2026. Las respuestas técnicas se han obtenido consultando el código y la base de datos en producción, no de memoria. Las cifras son las reales a esta fecha.</w:t>
      </w:r>
    </w:p>
    <w:p>
      <w:pPr>
        <w:spacing w:before="200"/>
      </w:pPr>
      <w:r>
        <w:rPr>
          <w:b/>
          <w:color w:val="A03018"/>
          <w:sz w:val="19"/>
        </w:rPr>
        <w:t xml:space="preserve">Cómo leer. </w:t>
      </w:r>
      <w:r>
        <w:rPr>
          <w:color w:val="A03018"/>
          <w:sz w:val="19"/>
        </w:rPr>
        <w:t>Lo resaltado en amarillo son extremos que el cliente aún debe decidir o confirmar. Los párrafos en gris son observaciones del redactor técnico sobre riesgos o limitaciones que conviene conocer, no respuestas a la pregunta.</w:t>
      </w:r>
    </w:p>
    <w:p/>
    <w:p>
      <w:pPr>
        <w:pStyle w:val="Literal"/>
        <w:shd w:val="clear" w:fill="F1F5F1"/>
      </w:pPr>
      <w:r>
        <w:rPr>
          <w:b/>
          <w:color w:val="0B4F26"/>
          <w:sz w:val="16"/>
        </w:rPr>
        <w:t xml:space="preserve">ENUNCIADO DEL CUESTIONARIO  </w:t>
      </w:r>
      <w:r>
        <w:rPr>
          <w:sz w:val="20"/>
        </w:rPr>
        <w:t>Las preguntas siguientes sirven para entender mejor la parte técnica y operativa del proyecto, algo necesario para cerrar el diagnóstico jurídico. No hay respuesta correcta ni incorrecta: el objetivo es registrar cómo funcionan las cosas hoy, no evaluar si están bien. Si no lo sabéis, no estáis seguros o nunca os habíais parado a pensar en algún punto, basta con indicarlo — eso también es información útil.</w:t>
      </w:r>
    </w:p>
    <w:p>
      <w:pPr>
        <w:pStyle w:val="Heading1"/>
      </w:pPr>
      <w:r>
        <w:t>Bloque 1 — Proyecto, negocio y proveedores</w:t>
      </w:r>
    </w:p>
    <w:p>
      <w:pPr>
        <w:pStyle w:val="Heading2"/>
      </w:pPr>
      <w:r>
        <w:t>1. Persona física o sociedad</w:t>
      </w:r>
    </w:p>
    <w:p>
      <w:pPr>
        <w:pStyle w:val="Literal"/>
        <w:shd w:val="clear" w:fill="F1F5F1"/>
      </w:pPr>
      <w:r>
        <w:rPr>
          <w:b/>
          <w:color w:val="0B4F26"/>
          <w:sz w:val="16"/>
        </w:rPr>
        <w:t xml:space="preserve">PREGUNTA  </w:t>
      </w:r>
      <w:r>
        <w:rPr>
          <w:sz w:val="20"/>
        </w:rPr>
        <w:t>¿ClavaMetrics va a operar como persona física o hay plan de constituir una sociedad? Si lo hay: ¿en qué país y en qué plazo aproximado?</w:t>
      </w:r>
    </w:p>
    <w:p>
      <w:r>
        <w:rPr>
          <w:b w:val="0"/>
        </w:rPr>
        <w:t xml:space="preserve">Se constituirá </w:t>
      </w:r>
      <w:r>
        <w:rPr>
          <w:b/>
        </w:rPr>
        <w:t>sociedad</w:t>
      </w:r>
      <w:r>
        <w:rPr>
          <w:b w:val="0"/>
        </w:rPr>
        <w:t xml:space="preserve"> entre los dos socios, Joaquín Reiris y Bruno Ilaria, con reparto por porcentaje. Jurisdicción prevista: </w:t>
      </w:r>
      <w:r>
        <w:rPr>
          <w:b/>
          <w:highlight w:val="yellow"/>
        </w:rPr>
        <w:t>Uruguay</w:t>
      </w:r>
      <w:r>
        <w:rPr>
          <w:b w:val="0"/>
        </w:rPr>
        <w:t xml:space="preserve">. Plazo: lo antes posible, </w:t>
      </w:r>
      <w:r>
        <w:rPr>
          <w:b/>
          <w:highlight w:val="yellow"/>
        </w:rPr>
        <w:t>sin fecha cerrada</w:t>
      </w:r>
      <w:r>
        <w:rPr>
          <w:b w:val="0"/>
        </w:rPr>
        <w:t>.</w:t>
      </w:r>
    </w:p>
    <w:p>
      <w:pPr>
        <w:pStyle w:val="Nota"/>
      </w:pPr>
      <w:r>
        <w:rPr>
          <w:b w:val="0"/>
        </w:rPr>
        <w:t xml:space="preserve">NOTA — Hay un extremo que conviene valorar con la asesoría y que no es fiscal sino de protección de datos: una sociedad establecida fuera de la Unión Europea que trate datos de interesados en la Unión puede quedar obligada a designar </w:t>
      </w:r>
      <w:r>
        <w:rPr>
          <w:b/>
        </w:rPr>
        <w:t>representante en la Unión</w:t>
      </w:r>
      <w:r>
        <w:rPr>
          <w:b w:val="0"/>
        </w:rPr>
        <w:t xml:space="preserve"> (artículo 27 RGPD). Es un coste recurrente modesto pero debe preverse, y afecta a la elección de jurisdicción.</w:t>
      </w:r>
    </w:p>
    <w:p>
      <w:pPr>
        <w:pStyle w:val="Nota"/>
      </w:pPr>
      <w:r>
        <w:rPr>
          <w:b w:val="0"/>
        </w:rPr>
        <w:t>NOTA — La otra variable es que el cobro se canaliza por Paddle, que actúa como Merchant of Record y asume la repercusión del IVA europeo. Eso simplifica la parte indirecta con independencia de dónde se constituya la sociedad.</w:t>
      </w:r>
    </w:p>
    <w:p>
      <w:pPr>
        <w:pStyle w:val="Heading2"/>
      </w:pPr>
      <w:r>
        <w:t>2. Desarrolladores externos y acceso al código o a la base de datos</w:t>
      </w:r>
    </w:p>
    <w:p>
      <w:pPr>
        <w:pStyle w:val="Literal"/>
        <w:shd w:val="clear" w:fill="F1F5F1"/>
      </w:pPr>
      <w:r>
        <w:rPr>
          <w:b/>
          <w:color w:val="0B4F26"/>
          <w:sz w:val="16"/>
        </w:rPr>
        <w:t xml:space="preserve">PREGUNTA  </w:t>
      </w:r>
      <w:r>
        <w:rPr>
          <w:sz w:val="20"/>
        </w:rPr>
        <w:t>¿Hay algún desarrollador externo, freelance o agencia con acceso al código o a la base de datos? Si es así, ¿bajo qué contrato, y existe cláusula de confidencialidad?</w:t>
      </w:r>
    </w:p>
    <w:p>
      <w:r>
        <w:rPr>
          <w:b w:val="0"/>
        </w:rPr>
        <w:t>No hay desarrolladores externos, freelance ni agencia. El desarrollo lo realiza íntegramente Joaquín Reiris.</w:t>
      </w:r>
    </w:p>
    <w:p>
      <w:r>
        <w:rPr>
          <w:b/>
        </w:rPr>
        <w:t>Acceso desde la aplicación:</w:t>
      </w:r>
      <w:r>
        <w:rPr>
          <w:b w:val="0"/>
        </w:rPr>
        <w:t xml:space="preserve"> desde el 16 de septiembre de 2026 el personal de la plataforma no tiene acceso permanente a los datos de ningún club. Cada acceso exige que el club abra una ventana desde su panel, caduca automáticamente, es revocable en cualquier momento y queda inscrito en un registro que el club consulta y que no admite supresión.</w:t>
      </w:r>
    </w:p>
    <w:p>
      <w:pPr>
        <w:pStyle w:val="Nota"/>
      </w:pPr>
      <w:r>
        <w:rPr>
          <w:b w:val="0"/>
        </w:rPr>
        <w:t xml:space="preserve">NOTA IMPORTANTE — Esa garantía cubre la vía de la aplicación, que es por donde se trabaja a diario, pero </w:t>
      </w:r>
      <w:r>
        <w:rPr>
          <w:b/>
        </w:rPr>
        <w:t>no la vía de la infraestructura</w:t>
      </w:r>
      <w:r>
        <w:rPr>
          <w:b w:val="0"/>
        </w:rPr>
        <w:t xml:space="preserve">. Quien posee las credenciales del proyecto de base de datos puede leer cualquier dato directamente, sin pasar por la aplicación y sin que quede registro en ese panel. Hoy esas credenciales las tiene </w:t>
      </w:r>
      <w:r>
        <w:rPr>
          <w:b/>
          <w:highlight w:val="yellow"/>
        </w:rPr>
        <w:t>una sola persona: Joaquín Reiris</w:t>
      </w:r>
      <w:r>
        <w:rPr>
          <w:b w:val="0"/>
        </w:rPr>
        <w:t>. Es el riesgo residual real y conviene que el contrato lo refleje con honestidad en lugar de afirmar una imposibilidad técnica absoluta que no existe. Se mitiga limitando quién las tiene, por contrato y con doble factor obligatorio.</w:t>
      </w:r>
    </w:p>
    <w:p>
      <w:r>
        <w:rPr>
          <w:b w:val="0"/>
        </w:rPr>
        <w:t xml:space="preserve">Sobre la confidencialidad: </w:t>
      </w:r>
      <w:r>
        <w:rPr>
          <w:b/>
          <w:highlight w:val="yellow"/>
        </w:rPr>
        <w:t>no existe hoy un acuerdo de confidencialidad firmado entre los socios</w:t>
      </w:r>
      <w:r>
        <w:rPr>
          <w:b w:val="0"/>
        </w:rPr>
        <w:t xml:space="preserve"> ni un contrato que la regule. Lo que hay es una nota en el repositorio de código, que no cumple esa función.</w:t>
      </w:r>
    </w:p>
    <w:p>
      <w:pPr>
        <w:pStyle w:val="Heading2"/>
      </w:pPr>
      <w:r>
        <w:t>3. Recorrido del dato cuando se analiza fuera de la plataforma</w:t>
      </w:r>
    </w:p>
    <w:p>
      <w:pPr>
        <w:pStyle w:val="Literal"/>
        <w:shd w:val="clear" w:fill="F1F5F1"/>
      </w:pPr>
      <w:r>
        <w:rPr>
          <w:b/>
          <w:color w:val="0B4F26"/>
          <w:sz w:val="16"/>
        </w:rPr>
        <w:t xml:space="preserve">PREGUNTA  </w:t>
      </w:r>
      <w:r>
        <w:rPr>
          <w:sz w:val="20"/>
        </w:rPr>
        <w:t>Cuando necesitáis analizar datos de un club fuera de la plataforma — preparar un informe, revisar la carga de la temporada, preparar una reunión — ¿cómo lo hacéis en la práctica? Describid el recorrido, del dato a la entrega.</w:t>
      </w:r>
    </w:p>
    <w:p>
      <w:r>
        <w:rPr>
          <w:b w:val="0"/>
        </w:rPr>
        <w:t xml:space="preserve">Se entiende que la pregunta se refiere a qué ocurre cuando un dato </w:t>
      </w:r>
      <w:r>
        <w:rPr>
          <w:b/>
        </w:rPr>
        <w:t>sale</w:t>
      </w:r>
      <w:r>
        <w:rPr>
          <w:b w:val="0"/>
        </w:rPr>
        <w:t xml:space="preserve"> de la plataforma.</w:t>
      </w:r>
    </w:p>
    <w:p>
      <w:r>
        <w:rPr>
          <w:b w:val="0"/>
        </w:rPr>
        <w:t xml:space="preserve">La aplicación permite exportar: plantillas de jugadores, informes de GPS y datos de sesión, en formatos de hoja de cálculo y PDF. Una vez exportado, el archivo queda en el equipo de quien lo descarga y </w:t>
      </w:r>
      <w:r>
        <w:rPr>
          <w:b/>
        </w:rPr>
        <w:t>fuera del control de ClavaMetrics</w:t>
      </w:r>
      <w:r>
        <w:rPr>
          <w:b w:val="0"/>
        </w:rPr>
        <w:t>; su custodia corresponde al club.</w:t>
      </w:r>
    </w:p>
    <w:p>
      <w:r>
        <w:rPr>
          <w:b w:val="0"/>
        </w:rPr>
        <w:t>Históricamente, y antes de la plataforma, el flujo era: exportación en crudo del GPS a hoja de cálculo, tratamiento en una herramienta de visualización externa, y presentación desde un ordenador o en papel.</w:t>
      </w:r>
    </w:p>
    <w:p>
      <w:pPr>
        <w:pStyle w:val="Nota"/>
      </w:pPr>
      <w:r>
        <w:rPr>
          <w:b w:val="0"/>
        </w:rPr>
        <w:t>NOTA — Conviene que el contrato diga expresamente que la responsabilidad sobre el dato exportado pasa al club en el momento de la descarga. Sin esa cláusula, una filtración desde el portátil de un entrenador puede intentar imputarse al encargado.</w:t>
      </w:r>
    </w:p>
    <w:p>
      <w:pPr>
        <w:pStyle w:val="Heading2"/>
      </w:pPr>
      <w:r>
        <w:t>4. Herramientas del día a día</w:t>
      </w:r>
    </w:p>
    <w:p>
      <w:pPr>
        <w:pStyle w:val="Literal"/>
        <w:shd w:val="clear" w:fill="F1F5F1"/>
      </w:pPr>
      <w:r>
        <w:rPr>
          <w:b/>
          <w:color w:val="0B4F26"/>
          <w:sz w:val="16"/>
        </w:rPr>
        <w:t xml:space="preserve">PREGUNTA  </w:t>
      </w:r>
      <w:r>
        <w:rPr>
          <w:sz w:val="20"/>
        </w:rPr>
        <w:t>¿Qué herramientas usáis en el día a día para pensar, escribir y organizar el trabajo? Interesa la lista completa, incluidas las que parezcan irrelevantes.</w:t>
      </w:r>
    </w:p>
    <w:p>
      <w:r>
        <w:rPr>
          <w:b w:val="0"/>
        </w:rPr>
        <w:t>Papel y bolígrafo, pizarra de pared, Pages (procesador de Apple), calendario de competición. No se emplean gestores de proyecto, mensajería corporativa ni documentos compartidos en nube para el trabajo interno.</w:t>
      </w:r>
    </w:p>
    <w:p>
      <w:pPr>
        <w:pStyle w:val="Heading2"/>
      </w:pPr>
      <w:r>
        <w:t>5. ¿Alguna de esas herramientas ha recibido datos de jugadores?</w:t>
      </w:r>
    </w:p>
    <w:p>
      <w:pPr>
        <w:pStyle w:val="Literal"/>
        <w:shd w:val="clear" w:fill="F1F5F1"/>
      </w:pPr>
      <w:r>
        <w:rPr>
          <w:b/>
          <w:color w:val="0B4F26"/>
          <w:sz w:val="16"/>
        </w:rPr>
        <w:t xml:space="preserve">PREGUNTA  </w:t>
      </w:r>
      <w:r>
        <w:rPr>
          <w:sz w:val="20"/>
        </w:rPr>
        <w:t>¿Alguna de esas herramientas ha recibido datos de jugadores, aunque sea una sola vez o de forma parcial?</w:t>
      </w:r>
    </w:p>
    <w:p>
      <w:r>
        <w:rPr>
          <w:b/>
          <w:highlight w:val="yellow"/>
        </w:rPr>
        <w:t>Pendiente de confirmación por el cliente.</w:t>
      </w:r>
      <w:r>
        <w:rPr>
          <w:b w:val="0"/>
        </w:rPr>
        <w:t xml:space="preserve"> La respuesta preliminar es que no, pero no consta verificación.</w:t>
      </w:r>
    </w:p>
    <w:p>
      <w:pPr>
        <w:pStyle w:val="Nota"/>
      </w:pPr>
      <w:r>
        <w:rPr>
          <w:b w:val="0"/>
        </w:rPr>
        <w:t>NOTA — «Teóricamente no» no es una respuesta sostenible ante una autoridad de control. Conviene revisar expresamente si alguna vez se ha llevado a Pages, a la pizarra o a papel un listado de plantilla, un parte de lesiones o una captura con nombres: cualquiera de esos supuestos es tratamiento. Si ha ocurrido, debe declararse; si no, conviene fijar la regla por escrito hacia adelante.</w:t>
      </w:r>
    </w:p>
    <w:p>
      <w:pPr>
        <w:pStyle w:val="Heading2"/>
      </w:pPr>
      <w:r>
        <w:t>6. Contratos de tratamiento con los proveedores</w:t>
      </w:r>
    </w:p>
    <w:p>
      <w:pPr>
        <w:pStyle w:val="Literal"/>
        <w:shd w:val="clear" w:fill="F1F5F1"/>
      </w:pPr>
      <w:r>
        <w:rPr>
          <w:b/>
          <w:color w:val="0B4F26"/>
          <w:sz w:val="16"/>
        </w:rPr>
        <w:t xml:space="preserve">PREGUNTA  </w:t>
      </w:r>
      <w:r>
        <w:rPr>
          <w:sz w:val="20"/>
        </w:rPr>
        <w:t>Para cada proveedor del Anexo III (Supabase, Catapult, Anthropic, Dropbox/Drive/YouTube/Vimeo, Resend, Paddle, HubSpot, Open-Meteo, y Bunny.net si ya hay relación contractual): ¿hay contrato de tratamiento de datos firmado o aceptado, o solo el alta y los términos estándar de uso?</w:t>
      </w:r>
    </w:p>
    <w:p>
      <w:r>
        <w:rPr>
          <w:b/>
          <w:highlight w:val="yellow"/>
        </w:rPr>
        <w:t>Pendiente de verificación cuenta por cuenta.</w:t>
      </w:r>
      <w:r>
        <w:rPr>
          <w:b w:val="0"/>
        </w:rPr>
        <w:t xml:space="preserve"> No consta que se haya firmado o aceptado expresamente el acuerdo de tratamiento de ninguno de ellos; en principio sólo se completó el alta y la aceptación de los términos estándar.</w:t>
      </w:r>
    </w:p>
    <w:p>
      <w:r>
        <w:rPr>
          <w:b w:val="0"/>
        </w:rPr>
        <w:t xml:space="preserve">Sobre </w:t>
      </w:r>
      <w:r>
        <w:rPr>
          <w:b/>
        </w:rPr>
        <w:t>Bunny.net</w:t>
      </w:r>
      <w:r>
        <w:rPr>
          <w:b w:val="0"/>
        </w:rPr>
        <w:t xml:space="preserve">: no aparece en el código, ni en la configuración, ni en la documentación del proyecto. No consta relación técnica alguna. </w:t>
      </w:r>
      <w:r>
        <w:rPr>
          <w:b/>
          <w:highlight w:val="yellow"/>
        </w:rPr>
        <w:t>Si existe relación comercial, el cliente debe confirmarlo</w:t>
      </w:r>
      <w:r>
        <w:rPr>
          <w:b w:val="0"/>
        </w:rPr>
        <w:t>; en todo caso hoy no está conectado a la plataforma.</w:t>
      </w:r>
    </w:p>
    <w:p>
      <w:pPr>
        <w:pStyle w:val="Nota"/>
      </w:pPr>
      <w:r>
        <w:rPr>
          <w:b w:val="0"/>
        </w:rPr>
        <w:t>NOTA — Supabase, Paddle, HubSpot, Resend y Anthropic publican acuerdo de tratamiento propio, aceptable en línea o por firma desde el panel de la cuenta. Catapult y los servicios de vídeo requerirían gestión contractual individual. Es una tarea acotada —revisar ocho cuentas— y conviene cerrarla antes de la firma del primer contrato con un club, porque el artículo 28.4 exige imponer al subencargado obligaciones equivalentes.</w:t>
      </w:r>
    </w:p>
    <w:p>
      <w:pPr>
        <w:pStyle w:val="Heading2"/>
      </w:pPr>
      <w:r>
        <w:t>7. ¿Alguna cuenta es personal en lugar de corporativa?</w:t>
      </w:r>
    </w:p>
    <w:p>
      <w:pPr>
        <w:pStyle w:val="Literal"/>
        <w:shd w:val="clear" w:fill="F1F5F1"/>
      </w:pPr>
      <w:r>
        <w:rPr>
          <w:b/>
          <w:color w:val="0B4F26"/>
          <w:sz w:val="16"/>
        </w:rPr>
        <w:t xml:space="preserve">PREGUNTA  </w:t>
      </w:r>
      <w:r>
        <w:rPr>
          <w:sz w:val="20"/>
        </w:rPr>
        <w:t>¿Alguna de esas cuentas es personal, de uno de los socios, en lugar de corporativa de ClavaMetrics?</w:t>
      </w:r>
    </w:p>
    <w:p>
      <w:r>
        <w:rPr>
          <w:b/>
          <w:highlight w:val="yellow"/>
        </w:rPr>
        <w:t>Pendiente de confirmación.</w:t>
      </w:r>
      <w:r>
        <w:rPr>
          <w:b w:val="0"/>
        </w:rPr>
        <w:t xml:space="preserve"> Previsiblemente todas, dado que la sociedad aún no está constituida.</w:t>
      </w:r>
    </w:p>
    <w:p>
      <w:pPr>
        <w:pStyle w:val="Nota"/>
      </w:pPr>
      <w:r>
        <w:rPr>
          <w:b w:val="0"/>
        </w:rPr>
        <w:t>NOTA — Es consecuencia natural de no tener sociedad, no un descuido. Pero conviene planificar la migración a cuentas corporativas en el mismo momento de la constitución: una cuenta personal complica la continuidad del servicio si el socio se ausenta, y debilita la posición del club ante un incidente.</w:t>
      </w:r>
    </w:p>
    <w:p>
      <w:pPr>
        <w:pStyle w:val="Heading2"/>
      </w:pPr>
      <w:r>
        <w:t>8. Servicios conectados no recogidos en el Anexo III</w:t>
      </w:r>
    </w:p>
    <w:p>
      <w:pPr>
        <w:pStyle w:val="Literal"/>
        <w:shd w:val="clear" w:fill="F1F5F1"/>
      </w:pPr>
      <w:r>
        <w:rPr>
          <w:b/>
          <w:color w:val="0B4F26"/>
          <w:sz w:val="16"/>
        </w:rPr>
        <w:t xml:space="preserve">PREGUNTA  </w:t>
      </w:r>
      <w:r>
        <w:rPr>
          <w:sz w:val="20"/>
        </w:rPr>
        <w:t>Además de las herramientas del día a día ya mencionadas, ¿hay algún servicio conectado técnicamente a la plataforma — analítica, monitorización de errores, chat de soporte, formularios, automatizaciones — que no aparezca en el Anexo III?</w:t>
      </w:r>
    </w:p>
    <w:p>
      <w:r>
        <w:rPr>
          <w:b w:val="0"/>
        </w:rPr>
        <w:t xml:space="preserve">Revisado el código: </w:t>
      </w:r>
      <w:r>
        <w:rPr>
          <w:b/>
        </w:rPr>
        <w:t>no hay analítica web, ni monitorización de errores, ni chat de soporte, ni formularios de terceros, ni automatizaciones</w:t>
      </w:r>
      <w:r>
        <w:rPr>
          <w:b w:val="0"/>
        </w:rPr>
        <w:t xml:space="preserve"> conectadas a la plataforma. El único servicio adicional detectado es Open-Meteo, para meteorología de sesión, que no recibe dato personal alguno.</w:t>
      </w:r>
    </w:p>
    <w:p>
      <w:pPr>
        <w:pStyle w:val="Nota"/>
      </w:pPr>
      <w:r>
        <w:rPr>
          <w:b w:val="0"/>
        </w:rPr>
        <w:t>NOTA — La ausencia de monitorización de errores es buena noticia desde protección de datos, pero es una carencia desde seguridad: hoy no existe un mecanismo automático que avise de un fallo o de un comportamiento anómalo. Eso condiciona la capacidad real de detectar una violación de seguridad dentro de las 72 horas del artículo 33.</w:t>
      </w:r>
    </w:p>
    <w:p>
      <w:pPr>
        <w:pStyle w:val="Heading2"/>
      </w:pPr>
      <w:r>
        <w:t>9. Clubes profesionales, amateurs o ambos</w:t>
      </w:r>
    </w:p>
    <w:p>
      <w:pPr>
        <w:pStyle w:val="Literal"/>
        <w:shd w:val="clear" w:fill="F1F5F1"/>
      </w:pPr>
      <w:r>
        <w:rPr>
          <w:b/>
          <w:color w:val="0B4F26"/>
          <w:sz w:val="16"/>
        </w:rPr>
        <w:t xml:space="preserve">PREGUNTA  </w:t>
      </w:r>
      <w:r>
        <w:rPr>
          <w:sz w:val="20"/>
        </w:rPr>
        <w:t>¿ClavaMetrics pretende atender solo a clubes profesionales, cuyos atletas tienen contrato laboral, o también a clubes amateurs y de cantera, donde muchas veces no hay contrato alguno? Si el plan incluye ambos, ¿hay intención de diferenciar el producto entre ellos?</w:t>
      </w:r>
    </w:p>
    <w:p>
      <w:r>
        <w:rPr>
          <w:b/>
          <w:highlight w:val="yellow"/>
        </w:rPr>
        <w:t>Pendiente de decisión comercial del cliente.</w:t>
      </w:r>
    </w:p>
    <w:p>
      <w:pPr>
        <w:pStyle w:val="Nota"/>
      </w:pPr>
      <w:r>
        <w:rPr>
          <w:b w:val="0"/>
        </w:rPr>
        <w:t>NOTA — La respuesta condiciona el producto y el contrato. En club profesional, la base de licitud para salud e imagen suele descansar en la relación laboral. En cantera y amateur no hay contrato laboral, los interesados son con frecuencia menores, y la autorización la presta quien ejerce la patria potestad y es revocable. No es sólo una cuestión de precio: son dos regímenes jurídicos distintos sobre el mismo dato.</w:t>
      </w:r>
    </w:p>
    <w:p>
      <w:pPr>
        <w:pStyle w:val="Heading2"/>
      </w:pPr>
      <w:r>
        <w:t>10. Profesional colegiado accediendo al módulo clínico</w:t>
      </w:r>
    </w:p>
    <w:p>
      <w:pPr>
        <w:pStyle w:val="Literal"/>
        <w:shd w:val="clear" w:fill="F1F5F1"/>
      </w:pPr>
      <w:r>
        <w:rPr>
          <w:b/>
          <w:color w:val="0B4F26"/>
          <w:sz w:val="16"/>
        </w:rPr>
        <w:t xml:space="preserve">PREGUNTA  </w:t>
      </w:r>
      <w:r>
        <w:rPr>
          <w:sz w:val="20"/>
        </w:rPr>
        <w:t>¿Hay médico, fisioterapeuta u otro profesional colegiado accediendo al módulo clínico? ¿El sistema de roles permite acreditar esa restricción?</w:t>
      </w:r>
    </w:p>
    <w:p>
      <w:r>
        <w:rPr>
          <w:b w:val="0"/>
        </w:rPr>
        <w:t>El sistema restringe el acceso a lo clínico mediante roles: sólo perfiles con rol de administrador, propietario o fisioterapeuta acceden a lesiones, tratamientos, documentos y episodios médicos. Los documentos clínicos almacenados están además protegidos por una regla adicional que exige ese mismo rol.</w:t>
      </w:r>
    </w:p>
    <w:p>
      <w:r>
        <w:rPr>
          <w:b/>
        </w:rPr>
        <w:t>El sistema no verifica la colegiación.</w:t>
      </w:r>
      <w:r>
        <w:rPr>
          <w:b w:val="0"/>
        </w:rPr>
        <w:t xml:space="preserve"> Acredita que quien accede tiene rol sanitario asignado por el club, no que sea profesional colegiado. La acreditación es documental y corresponde al club.</w:t>
      </w:r>
    </w:p>
    <w:p>
      <w:pPr>
        <w:pStyle w:val="Nota"/>
      </w:pPr>
      <w:r>
        <w:rPr>
          <w:b w:val="0"/>
        </w:rPr>
        <w:t>NOTA — Si la base de licitud elegida es el artículo 9.2.h, esta distinción es central: esa letra exige que el tratamiento se realice por profesional sujeto a secreto o bajo su responsabilidad. El sistema puede acreditar el control de acceso; la condición profesional debe acreditarla el club y convendría exigirla por contrato.</w:t>
      </w:r>
    </w:p>
    <w:p>
      <w:pPr>
        <w:pStyle w:val="Heading2"/>
      </w:pPr>
      <w:r>
        <w:t>11. Naturaleza del Clava FC</w:t>
      </w:r>
    </w:p>
    <w:p>
      <w:pPr>
        <w:pStyle w:val="Literal"/>
        <w:shd w:val="clear" w:fill="F1F5F1"/>
      </w:pPr>
      <w:r>
        <w:rPr>
          <w:b/>
          <w:color w:val="0B4F26"/>
          <w:sz w:val="16"/>
        </w:rPr>
        <w:t xml:space="preserve">PREGUNTA  </w:t>
      </w:r>
      <w:r>
        <w:rPr>
          <w:sz w:val="20"/>
        </w:rPr>
        <w:t>Sobre el Clava FC: ¿es un club vinculado a vosotros, un cliente independiente, o una base de datos de prueba con estructura de club real? Lo preguntamos porque el borrador usa la existencia de un club español como argumento de aplicabilidad actual del RGPD, y conviene saber si ese argumento se sostiene.</w:t>
      </w:r>
    </w:p>
    <w:p>
      <w:r>
        <w:rPr>
          <w:b/>
        </w:rPr>
        <w:t>Es un club de prueba.</w:t>
      </w:r>
      <w:r>
        <w:rPr>
          <w:b w:val="0"/>
        </w:rPr>
        <w:t xml:space="preserve"> Confirmado por el cliente el 18 de septiembre de 2026: las 45 fichas </w:t>
      </w:r>
      <w:r>
        <w:rPr>
          <w:b/>
        </w:rPr>
        <w:t>no corresponden a personas reales</w:t>
      </w:r>
      <w:r>
        <w:rPr>
          <w:b w:val="0"/>
        </w:rPr>
        <w:t xml:space="preserve"> y no hay, por tanto, tratamiento de datos personales en ese club.</w:t>
      </w:r>
    </w:p>
    <w:p>
      <w:r>
        <w:rPr>
          <w:b w:val="0"/>
        </w:rPr>
        <w:t>Los datos de la base son coherentes con esa naturaleza: 45 fichas creadas en tres días en carga masiva, un solo usuario —el propio fundador— y sesiones fechadas en el futuro.</w:t>
      </w:r>
    </w:p>
    <w:p>
      <w:pPr>
        <w:pStyle w:val="Nota"/>
      </w:pPr>
      <w:r>
        <w:rPr>
          <w:b w:val="0"/>
        </w:rPr>
        <w:t xml:space="preserve">NOTA IMPORTANTE — Esto </w:t>
      </w:r>
      <w:r>
        <w:rPr>
          <w:b/>
        </w:rPr>
        <w:t>derriba el argumento de aplicabilidad</w:t>
      </w:r>
      <w:r>
        <w:rPr>
          <w:b w:val="0"/>
        </w:rPr>
        <w:t xml:space="preserve"> que empleaba la primera versión del borrador. El otro club español dado de alta, Lorca Deportiva, no contiene dato alguno. En consecuencia, a esta fecha </w:t>
      </w:r>
      <w:r>
        <w:rPr>
          <w:b/>
        </w:rPr>
        <w:t>no hay ningún club europeo con datos reales en la plataforma</w:t>
      </w:r>
      <w:r>
        <w:rPr>
          <w:b w:val="0"/>
        </w:rPr>
        <w:t>: el único club con datos reales radica en Camboya. La aplicabilidad del RGPD habrá de fundarse, en su caso, en la oferta del servicio dirigida al mercado europeo (artículo 3.2), calificación que corresponde a la letrada. Conviene resolverlo antes de redactar la cláusula de ley aplicable y fuero.</w:t>
      </w:r>
    </w:p>
    <w:p>
      <w:pPr>
        <w:pStyle w:val="Nota"/>
      </w:pPr>
      <w:r>
        <w:rPr>
          <w:b w:val="0"/>
        </w:rPr>
        <w:t>NOTA — Que no resulte aplicable hoy no permite aplazar el contrato. Lo será en cuanto Lorca, ya dado de alta, incorpore un jugador. Y en Camboya, donde sí hay datos reales, no consta norma equivalente: allí el contrato es la única protección del cliente.</w:t>
      </w:r>
    </w:p>
    <w:p>
      <w:pPr>
        <w:pStyle w:val="Heading2"/>
      </w:pPr>
      <w:r>
        <w:t>12. ¿El club de prueba contiene datos reales de personas?</w:t>
      </w:r>
    </w:p>
    <w:p>
      <w:pPr>
        <w:pStyle w:val="Literal"/>
        <w:shd w:val="clear" w:fill="F1F5F1"/>
      </w:pPr>
      <w:r>
        <w:rPr>
          <w:b/>
          <w:color w:val="0B4F26"/>
          <w:sz w:val="16"/>
        </w:rPr>
        <w:t xml:space="preserve">PREGUNTA  </w:t>
      </w:r>
      <w:r>
        <w:rPr>
          <w:sz w:val="20"/>
        </w:rPr>
        <w:t>¿El «Club de prueba» contiene datos reales de personas?</w:t>
      </w:r>
    </w:p>
    <w:p>
      <w:r>
        <w:rPr>
          <w:b/>
        </w:rPr>
        <w:t>No.</w:t>
      </w:r>
      <w:r>
        <w:rPr>
          <w:b w:val="0"/>
        </w:rPr>
        <w:t xml:space="preserve"> Los nombres son ficticios, según confirmación del cliente.</w:t>
      </w:r>
    </w:p>
    <w:p>
      <w:pPr>
        <w:pStyle w:val="Nota"/>
      </w:pPr>
      <w:r>
        <w:rPr>
          <w:b w:val="0"/>
        </w:rPr>
        <w:t>NOTA — Conviene dejarlo documentado por escrito, para que en una eventual inspección nadie deduzca lo contrario a la vista de un club con 45 fichas y 8.049 registros de esfuerzo.</w:t>
      </w:r>
    </w:p>
    <w:p>
      <w:pPr>
        <w:pStyle w:val="Heading2"/>
      </w:pPr>
      <w:r>
        <w:t>13. Procedimiento de respuesta a incidentes</w:t>
      </w:r>
    </w:p>
    <w:p>
      <w:pPr>
        <w:pStyle w:val="Literal"/>
        <w:shd w:val="clear" w:fill="F1F5F1"/>
      </w:pPr>
      <w:r>
        <w:rPr>
          <w:b/>
          <w:color w:val="0B4F26"/>
          <w:sz w:val="16"/>
        </w:rPr>
        <w:t xml:space="preserve">PREGUNTA  </w:t>
      </w:r>
      <w:r>
        <w:rPr>
          <w:sz w:val="20"/>
        </w:rPr>
        <w:t>¿Existe un procedimiento escrito de respuesta a incidentes? ¿A quién se avisa fuera de horario, teniendo en cuenta el huso horario de los socios?</w:t>
      </w:r>
    </w:p>
    <w:p>
      <w:r>
        <w:rPr>
          <w:b/>
        </w:rPr>
        <w:t>No existe procedimiento escrito.</w:t>
      </w:r>
      <w:r>
        <w:rPr>
          <w:b w:val="0"/>
        </w:rPr>
        <w:t xml:space="preserve"> No hay designación de a quién se avisa fuera de horario, ni canal definido, ni plantilla de notificación al club.</w:t>
      </w:r>
    </w:p>
    <w:p>
      <w:pPr>
        <w:pStyle w:val="Nota"/>
      </w:pPr>
      <w:r>
        <w:rPr>
          <w:b w:val="0"/>
        </w:rPr>
        <w:t>NOTA — Agravado por el huso horario: los dos socios se encuentran en Camboya, con siete horas de diferencia respecto de España. Un incidente detectado a las nueve de la mañana en España ocurre a las cuatro de la tarde allí, pero el caso inverso implica que un club europeo puede pasar una jornada completa sin respuesta. El plazo de 72 horas del artículo 33 corre igual.</w:t>
      </w:r>
    </w:p>
    <w:p>
      <w:pPr>
        <w:pStyle w:val="Heading2"/>
      </w:pPr>
      <w:r>
        <w:t>14. Qué ocurriría con los datos si ClavaMetrics cesara su actividad</w:t>
      </w:r>
    </w:p>
    <w:p>
      <w:pPr>
        <w:pStyle w:val="Literal"/>
        <w:shd w:val="clear" w:fill="F1F5F1"/>
      </w:pPr>
      <w:r>
        <w:rPr>
          <w:b/>
          <w:color w:val="0B4F26"/>
          <w:sz w:val="16"/>
        </w:rPr>
        <w:t xml:space="preserve">PREGUNTA  </w:t>
      </w:r>
      <w:r>
        <w:rPr>
          <w:sz w:val="20"/>
        </w:rPr>
        <w:t>¿Qué ocurriría con los datos de los clubes si ClavaMetrics cesara su actividad?</w:t>
      </w:r>
    </w:p>
    <w:p>
      <w:r>
        <w:rPr>
          <w:b/>
        </w:rPr>
        <w:t>No hay previsión escrita.</w:t>
      </w:r>
      <w:r>
        <w:rPr>
          <w:b w:val="0"/>
        </w:rPr>
        <w:t xml:space="preserve"> Técnicamente el club puede exportar sus datos en cualquier momento, pero no existe compromiso de preaviso, ni plazo garantizado de exportación, ni depósito de código o datos en poder de un tercero.</w:t>
      </w:r>
    </w:p>
    <w:p>
      <w:pPr>
        <w:pStyle w:val="Nota"/>
      </w:pPr>
      <w:r>
        <w:rPr>
          <w:b w:val="0"/>
        </w:rPr>
        <w:t xml:space="preserve">NOTA — Para un club, migrar una temporada entera de carga y de historia clínica no es trivial. Un compromiso de preaviso de </w:t>
      </w:r>
      <w:r>
        <w:rPr>
          <w:b/>
          <w:highlight w:val="yellow"/>
        </w:rPr>
        <w:t>90</w:t>
      </w:r>
      <w:r>
        <w:rPr>
          <w:b w:val="0"/>
        </w:rPr>
        <w:t xml:space="preserve"> días y de exportación completa en formato abierto es barato de conceder y tranquiliza mucho en una negociación.</w:t>
      </w:r>
    </w:p>
    <w:p>
      <w:pPr>
        <w:pStyle w:val="Heading2"/>
      </w:pPr>
      <w:r>
        <w:t>15. ¿La plataforma sugiere decisiones sobre jugadores?</w:t>
      </w:r>
    </w:p>
    <w:p>
      <w:pPr>
        <w:pStyle w:val="Literal"/>
        <w:shd w:val="clear" w:fill="F1F5F1"/>
      </w:pPr>
      <w:r>
        <w:rPr>
          <w:b/>
          <w:color w:val="0B4F26"/>
          <w:sz w:val="16"/>
        </w:rPr>
        <w:t xml:space="preserve">PREGUNTA  </w:t>
      </w:r>
      <w:r>
        <w:rPr>
          <w:sz w:val="20"/>
        </w:rPr>
        <w:t>¿La plataforma sugiere decisiones sobre jugadores — carga, disponibilidad, vuelta de lesión — o solo presenta datos para que decida el cuerpo técnico?</w:t>
      </w:r>
    </w:p>
    <w:p>
      <w:r>
        <w:rPr>
          <w:b w:val="0"/>
        </w:rPr>
        <w:t xml:space="preserve">Distinción relevante: </w:t>
      </w:r>
      <w:r>
        <w:rPr>
          <w:b/>
        </w:rPr>
        <w:t>la plataforma sugiere contenido de entrenamiento, no decisiones sobre personas.</w:t>
      </w:r>
    </w:p>
    <w:p>
      <w:pPr>
        <w:pStyle w:val="ListBullet"/>
      </w:pPr>
      <w:r>
        <w:rPr>
          <w:b w:val="0"/>
        </w:rPr>
        <w:t>La función de generación de sesión propone ejercicios a partir de un objetivo escrito por el preparador y del catálogo del propio club.</w:t>
      </w:r>
    </w:p>
    <w:p>
      <w:pPr>
        <w:pStyle w:val="ListBullet"/>
      </w:pPr>
      <w:r>
        <w:rPr>
          <w:b w:val="0"/>
        </w:rPr>
        <w:t>Los indicadores de carga muestran etiquetas descriptivas de estado agregado del equipo —por ejemplo, infracargado— y tendencias respecto de la propia línea base.</w:t>
      </w:r>
    </w:p>
    <w:p>
      <w:pPr>
        <w:pStyle w:val="ListBullet"/>
      </w:pPr>
      <w:r>
        <w:rPr>
          <w:b w:val="0"/>
        </w:rPr>
        <w:t>La disponibilidad, el alta tras lesión y la convocatoria las fija siempre una persona. El sistema no emite dictamen de aptitud ni bloquea a ningún jugador.</w:t>
      </w:r>
    </w:p>
    <w:p>
      <w:pPr>
        <w:pStyle w:val="Nota"/>
      </w:pPr>
      <w:r>
        <w:rPr>
          <w:b w:val="0"/>
        </w:rPr>
        <w:t>NOTA — Esta distinción es la que mantiene el tratamiento fuera del artículo 22, sobre decisiones automatizadas con efectos significativos. Conviene preservarla de forma consciente: el día que la plataforma diga «este jugador no debe entrenar», cambia el régimen jurídico.</w:t>
      </w:r>
    </w:p>
    <w:p>
      <w:pPr>
        <w:pStyle w:val="Heading2"/>
      </w:pPr>
      <w:r>
        <w:t>16. Benchmarking entre clubes</w:t>
      </w:r>
    </w:p>
    <w:p>
      <w:pPr>
        <w:pStyle w:val="Literal"/>
        <w:shd w:val="clear" w:fill="F1F5F1"/>
      </w:pPr>
      <w:r>
        <w:rPr>
          <w:b/>
          <w:color w:val="0B4F26"/>
          <w:sz w:val="16"/>
        </w:rPr>
        <w:t xml:space="preserve">PREGUNTA  </w:t>
      </w:r>
      <w:r>
        <w:rPr>
          <w:sz w:val="20"/>
        </w:rPr>
        <w:t>¿El benchmarking entre clubes es una funcionalidad prevista? ¿En qué plazo?</w:t>
      </w:r>
    </w:p>
    <w:p>
      <w:r>
        <w:rPr>
          <w:b/>
          <w:highlight w:val="yellow"/>
        </w:rPr>
        <w:t>Pendiente de decisión del cliente.</w:t>
      </w:r>
      <w:r>
        <w:rPr>
          <w:b w:val="0"/>
        </w:rPr>
        <w:t xml:space="preserve"> No está implementado.</w:t>
      </w:r>
    </w:p>
    <w:p>
      <w:pPr>
        <w:pStyle w:val="Nota"/>
      </w:pPr>
      <w:r>
        <w:rPr>
          <w:b w:val="0"/>
        </w:rPr>
        <w:t xml:space="preserve">NOTA — La cláusula 3 del borrador </w:t>
      </w:r>
      <w:r>
        <w:rPr>
          <w:b/>
        </w:rPr>
        <w:t>prohíbe expresamente</w:t>
      </w:r>
      <w:r>
        <w:rPr>
          <w:b w:val="0"/>
        </w:rPr>
        <w:t xml:space="preserve"> elaborar comparativas o promedios entre clubes. Es una de las dos cláusulas que de verdad valora un club competidor. Si el benchmarking entra en la hoja de ruta, hay que decidirlo ahora: exigiría modificar esa cláusula, anonimización irreversible y consentimiento, y debilitaría el argumento comercial más fuerte del producto.</w:t>
      </w:r>
    </w:p>
    <w:p>
      <w:pPr>
        <w:pStyle w:val="Heading2"/>
      </w:pPr>
      <w:r>
        <w:t>17. Mercados de expansión</w:t>
      </w:r>
    </w:p>
    <w:p>
      <w:pPr>
        <w:pStyle w:val="Literal"/>
        <w:shd w:val="clear" w:fill="F1F5F1"/>
      </w:pPr>
      <w:r>
        <w:rPr>
          <w:b/>
          <w:color w:val="0B4F26"/>
          <w:sz w:val="16"/>
        </w:rPr>
        <w:t xml:space="preserve">PREGUNTA  </w:t>
      </w:r>
      <w:r>
        <w:rPr>
          <w:sz w:val="20"/>
        </w:rPr>
        <w:t>¿Qué mercados entran en el plan de expansión, y en qué orden, si ya está previsto?</w:t>
      </w:r>
    </w:p>
    <w:p>
      <w:r>
        <w:rPr>
          <w:b/>
          <w:highlight w:val="yellow"/>
        </w:rPr>
        <w:t>Pendiente de decisión comercial del cliente.</w:t>
      </w:r>
    </w:p>
    <w:p>
      <w:r>
        <w:br w:type="page"/>
      </w:r>
    </w:p>
    <w:p>
      <w:pPr>
        <w:pStyle w:val="Heading1"/>
      </w:pPr>
      <w:r>
        <w:t>Bloque 2 — Arquitectura y funcionamiento del sistema</w:t>
      </w:r>
    </w:p>
    <w:p>
      <w:r>
        <w:rPr>
          <w:b w:val="0"/>
          <w:color w:val="5C6B62"/>
          <w:sz w:val="20"/>
        </w:rPr>
        <w:t>Estas preguntas se responden mejor con el sistema abierto.</w:t>
      </w:r>
    </w:p>
    <w:p>
      <w:pPr>
        <w:pStyle w:val="Heading2"/>
      </w:pPr>
      <w:r>
        <w:t>18. Cómo llegan los datos a la plataforma</w:t>
      </w:r>
    </w:p>
    <w:p>
      <w:pPr>
        <w:pStyle w:val="Literal"/>
        <w:shd w:val="clear" w:fill="F1F5F1"/>
      </w:pPr>
      <w:r>
        <w:rPr>
          <w:b/>
          <w:color w:val="0B4F26"/>
          <w:sz w:val="16"/>
        </w:rPr>
        <w:t xml:space="preserve">PREGUNTA  </w:t>
      </w:r>
      <w:r>
        <w:rPr>
          <w:sz w:val="20"/>
        </w:rPr>
        <w:t>¿Cómo llegan los datos a la plataforma en cada categoría: introducción manual por el cuerpo técnico, importación de hoja de cálculo, integración automática, formulario que rellena el jugador? ¿Hay algún caso en que el jugador o un tercero alimente datos directamente?</w:t>
      </w:r>
    </w:p>
    <w:p>
      <w:r>
        <w:rPr>
          <w:b w:val="0"/>
        </w:rPr>
        <w:t>Cuatro vías, según la categoría:</w:t>
      </w:r>
    </w:p>
    <w:p>
      <w:pPr>
        <w:pStyle w:val="ListBullet"/>
      </w:pPr>
      <w:r>
        <w:rPr>
          <w:b/>
        </w:rPr>
        <w:t>Introducción manual</w:t>
      </w:r>
      <w:r>
        <w:rPr>
          <w:b w:val="0"/>
        </w:rPr>
        <w:t xml:space="preserve"> por el cuerpo técnico: ficha del jugador, lesiones, tratamientos, planificación, disponibilidad.</w:t>
      </w:r>
    </w:p>
    <w:p>
      <w:pPr>
        <w:pStyle w:val="ListBullet"/>
      </w:pPr>
      <w:r>
        <w:rPr>
          <w:b/>
        </w:rPr>
        <w:t>Importación de hoja de cálculo</w:t>
      </w:r>
      <w:r>
        <w:rPr>
          <w:b w:val="0"/>
        </w:rPr>
        <w:t>: altas masivas de plantilla y datos de GPS.</w:t>
      </w:r>
    </w:p>
    <w:p>
      <w:pPr>
        <w:pStyle w:val="ListBullet"/>
      </w:pPr>
      <w:r>
        <w:rPr>
          <w:b/>
        </w:rPr>
        <w:t>Integración automática</w:t>
      </w:r>
      <w:r>
        <w:rPr>
          <w:b w:val="0"/>
        </w:rPr>
        <w:t>: Catapult, mediante conexión directa con el proveedor de GPS.</w:t>
      </w:r>
    </w:p>
    <w:p>
      <w:pPr>
        <w:pStyle w:val="ListBullet"/>
      </w:pPr>
      <w:r>
        <w:rPr>
          <w:b/>
        </w:rPr>
        <w:t>Cumplimentación por el propio jugador</w:t>
      </w:r>
      <w:r>
        <w:rPr>
          <w:b w:val="0"/>
        </w:rPr>
        <w:t>: los cuestionarios de bienestar y de esfuerzo percibido los rellena el jugador desde su acceso.</w:t>
      </w:r>
    </w:p>
    <w:p>
      <w:r>
        <w:rPr>
          <w:b w:val="0"/>
        </w:rPr>
        <w:t xml:space="preserve">Esta última vía es la relevante: </w:t>
      </w:r>
      <w:r>
        <w:rPr>
          <w:b/>
        </w:rPr>
        <w:t>el jugador aporta directamente datos sobre su estado</w:t>
      </w:r>
      <w:r>
        <w:rPr>
          <w:b w:val="0"/>
        </w:rPr>
        <w:t>, incluidos molestias y descanso. No hay terceros ajenos al club alimentando datos.</w:t>
      </w:r>
    </w:p>
    <w:p>
      <w:pPr>
        <w:pStyle w:val="Heading2"/>
      </w:pPr>
      <w:r>
        <w:t>19. Almacenamiento de documentos clínicos</w:t>
      </w:r>
    </w:p>
    <w:p>
      <w:pPr>
        <w:pStyle w:val="Literal"/>
        <w:shd w:val="clear" w:fill="F1F5F1"/>
      </w:pPr>
      <w:r>
        <w:rPr>
          <w:b/>
          <w:color w:val="0B4F26"/>
          <w:sz w:val="16"/>
        </w:rPr>
        <w:t xml:space="preserve">PREGUNTA  </w:t>
      </w:r>
      <w:r>
        <w:rPr>
          <w:sz w:val="20"/>
        </w:rPr>
        <w:t>¿Dónde se almacenan los documentos clínicos y las pruebas médicas que suben los clubes? ¿El control de acceso de la base de datos alcanza también a esos archivos, o están en un almacenamiento aparte? ¿Los enlaces de acceso a esos archivos caducan?</w:t>
      </w:r>
    </w:p>
    <w:p>
      <w:r>
        <w:rPr>
          <w:b w:val="0"/>
        </w:rPr>
        <w:t xml:space="preserve">Los documentos clínicos y las pruebas médicas se guardan en un almacenamiento de archivos independiente de la base de datos, pero </w:t>
      </w:r>
      <w:r>
        <w:rPr>
          <w:b/>
        </w:rPr>
        <w:t>sujeto al mismo control de acceso</w:t>
      </w:r>
      <w:r>
        <w:rPr>
          <w:b w:val="0"/>
        </w:rPr>
        <w:t>: el archivo sólo es accesible desde el club propietario y únicamente por perfiles con acceso clínico. El contenedor no es público.</w:t>
      </w:r>
    </w:p>
    <w:p>
      <w:r>
        <w:rPr>
          <w:b/>
        </w:rPr>
        <w:t>Los enlaces caducan a la hora.</w:t>
      </w:r>
      <w:r>
        <w:rPr>
          <w:b w:val="0"/>
        </w:rPr>
        <w:t xml:space="preserve"> Cada apertura genera un enlace firmado de vigencia limitada a 3.600 segundos; no existen enlaces permanentes a documentación clínica.</w:t>
      </w:r>
    </w:p>
    <w:p>
      <w:pPr>
        <w:pStyle w:val="Nota"/>
      </w:pPr>
      <w:r>
        <w:rPr>
          <w:b w:val="0"/>
        </w:rPr>
        <w:t>NOTA — Una observación menor detectada al revisar: los avatares del personal técnico sí usan un enlace firmado de vigencia muy larga, del orden de diez años. No afecta a datos clínicos ni a jugadores, pero conviene acortarlo.</w:t>
      </w:r>
    </w:p>
    <w:p>
      <w:pPr>
        <w:pStyle w:val="Heading2"/>
      </w:pPr>
      <w:r>
        <w:t>20. Campos exactos enviados en la generación de planes y en el etiquetado</w:t>
      </w:r>
    </w:p>
    <w:p>
      <w:pPr>
        <w:pStyle w:val="Literal"/>
        <w:shd w:val="clear" w:fill="F1F5F1"/>
      </w:pPr>
      <w:r>
        <w:rPr>
          <w:b/>
          <w:color w:val="0B4F26"/>
          <w:sz w:val="16"/>
        </w:rPr>
        <w:t xml:space="preserve">PREGUNTA  </w:t>
      </w:r>
      <w:r>
        <w:rPr>
          <w:sz w:val="20"/>
        </w:rPr>
        <w:t>¿Qué campos exactos se envían en la generación de planes y en el etiquetado? La lista de campos del payload, no una descripción.</w:t>
      </w:r>
    </w:p>
    <w:p>
      <w:r>
        <w:rPr>
          <w:b w:val="0"/>
        </w:rPr>
        <w:t>Revisadas las tres funciones que emplean inteligencia artificial. Los campos son:</w:t>
      </w:r>
    </w:p>
    <w:p>
      <w:r>
        <w:rPr>
          <w:b/>
        </w:rPr>
        <w:t>Generación de sesión de gimnasio.</w:t>
      </w:r>
      <w:r>
        <w:rPr>
          <w:b w:val="0"/>
        </w:rPr>
        <w:t xml:space="preserve"> Objetivo de la sesión (texto libre del preparador); número de jugadores (cifra); énfasis (texto libre); posición en el microciclo; nombre del microciclo; local o visitante; rival; duración objetivo; material disponible; ratio de carga aguda-crónica </w:t>
      </w:r>
      <w:r>
        <w:rPr>
          <w:b/>
        </w:rPr>
        <w:t>del equipo</w:t>
      </w:r>
      <w:r>
        <w:rPr>
          <w:b w:val="0"/>
        </w:rPr>
        <w:t xml:space="preserve"> (un único número) y su etiqueta de zona; tendencia de disposición </w:t>
      </w:r>
      <w:r>
        <w:rPr>
          <w:b/>
        </w:rPr>
        <w:t>del equipo</w:t>
      </w:r>
      <w:r>
        <w:rPr>
          <w:b w:val="0"/>
        </w:rPr>
        <w:t xml:space="preserve"> respecto de su línea base (etiqueta: por debajo, en línea o por encima) y número de respuestas; y el catálogo de ejercicios del club (identificador, nombre, propósito, grupos musculares, patrones de movimiento, material).</w:t>
      </w:r>
    </w:p>
    <w:p>
      <w:r>
        <w:rPr>
          <w:b/>
        </w:rPr>
        <w:t>Etiquetado de ejercicios.</w:t>
      </w:r>
      <w:r>
        <w:rPr>
          <w:b w:val="0"/>
        </w:rPr>
        <w:t xml:space="preserve"> Nombre y descripción del ejercicio, y el vocabulario de etiquetas. Nada más.</w:t>
      </w:r>
    </w:p>
    <w:p>
      <w:r>
        <w:rPr>
          <w:b/>
        </w:rPr>
        <w:t>Generación de tarjetas de GPS.</w:t>
      </w:r>
      <w:r>
        <w:rPr>
          <w:b w:val="0"/>
        </w:rPr>
        <w:t xml:space="preserve"> El catálogo de métricas del club (clave, etiqueta, unidad, tipo y categoría) y la petición en texto libre del usuario.</w:t>
      </w:r>
    </w:p>
    <w:p>
      <w:pPr>
        <w:pStyle w:val="Heading2"/>
      </w:pPr>
      <w:r>
        <w:t>21. ¿Se envía algo que permita re-identificar al jugador?</w:t>
      </w:r>
    </w:p>
    <w:p>
      <w:pPr>
        <w:pStyle w:val="Literal"/>
        <w:shd w:val="clear" w:fill="F1F5F1"/>
      </w:pPr>
      <w:r>
        <w:rPr>
          <w:b/>
          <w:color w:val="0B4F26"/>
          <w:sz w:val="16"/>
        </w:rPr>
        <w:t xml:space="preserve">PREGUNTA  </w:t>
      </w:r>
      <w:r>
        <w:rPr>
          <w:sz w:val="20"/>
        </w:rPr>
        <w:t>¿Se envían nombre, apellidos, identificador de ficha o cualquier dato que permita re-identificar al jugador?</w:t>
      </w:r>
    </w:p>
    <w:p>
      <w:r>
        <w:rPr>
          <w:b/>
        </w:rPr>
        <w:t>No.</w:t>
      </w:r>
      <w:r>
        <w:rPr>
          <w:b w:val="0"/>
        </w:rPr>
        <w:t xml:space="preserve"> Ni nombre, ni apellidos, ni identificador de ficha, ni dorsal, ni fecha de nacimiento. Los indicadores de carga y disposición que se remiten son </w:t>
      </w:r>
      <w:r>
        <w:rPr>
          <w:b/>
        </w:rPr>
        <w:t>agregados de equipo</w:t>
      </w:r>
      <w:r>
        <w:rPr>
          <w:b w:val="0"/>
        </w:rPr>
        <w:t>: un número y una etiqueta, calculados sobre el conjunto de la plantilla. No se envía ninguna fila individual.</w:t>
      </w:r>
    </w:p>
    <w:p>
      <w:pPr>
        <w:pStyle w:val="Nota"/>
      </w:pPr>
      <w:r>
        <w:rPr>
          <w:b w:val="0"/>
        </w:rPr>
        <w:t xml:space="preserve">NOTA — Existe una salvedad honesta que conviene declarar: los campos de objetivo y de énfasis son </w:t>
      </w:r>
      <w:r>
        <w:rPr>
          <w:b/>
        </w:rPr>
        <w:t>texto libre</w:t>
      </w:r>
      <w:r>
        <w:rPr>
          <w:b w:val="0"/>
        </w:rPr>
        <w:t xml:space="preserve"> escrito por el preparador. Si alguien escribiera «sesión adaptada para Pérez, que vuelve de lesión», ese nombre viajaría. No es un fallo del sistema sino un riesgo de uso, y se corrige con una advertencia en el propio campo.</w:t>
      </w:r>
    </w:p>
    <w:p>
      <w:pPr>
        <w:pStyle w:val="Heading2"/>
      </w:pPr>
      <w:r>
        <w:t>22. ¿Se envían datos de lesión, tratamiento o documentos clínicos?</w:t>
      </w:r>
    </w:p>
    <w:p>
      <w:pPr>
        <w:pStyle w:val="Literal"/>
        <w:shd w:val="clear" w:fill="F1F5F1"/>
      </w:pPr>
      <w:r>
        <w:rPr>
          <w:b/>
          <w:color w:val="0B4F26"/>
          <w:sz w:val="16"/>
        </w:rPr>
        <w:t xml:space="preserve">PREGUNTA  </w:t>
      </w:r>
      <w:r>
        <w:rPr>
          <w:sz w:val="20"/>
        </w:rPr>
        <w:t>¿Se envían datos de lesión, tratamiento o documentos clínicos?</w:t>
      </w:r>
    </w:p>
    <w:p>
      <w:r>
        <w:rPr>
          <w:b/>
        </w:rPr>
        <w:t>No.</w:t>
      </w:r>
      <w:r>
        <w:rPr>
          <w:b w:val="0"/>
        </w:rPr>
        <w:t xml:space="preserve"> Ninguna de las tres funciones accede a lesiones, tratamientos, episodios médicos, medicación ni documentos clínicos. Tampoco a la tabla de jugadores.</w:t>
      </w:r>
    </w:p>
    <w:p>
      <w:pPr>
        <w:pStyle w:val="Heading2"/>
      </w:pPr>
      <w:r>
        <w:t>23. Región única o segregación por región</w:t>
      </w:r>
    </w:p>
    <w:p>
      <w:pPr>
        <w:pStyle w:val="Literal"/>
        <w:shd w:val="clear" w:fill="F1F5F1"/>
      </w:pPr>
      <w:r>
        <w:rPr>
          <w:b/>
          <w:color w:val="0B4F26"/>
          <w:sz w:val="16"/>
        </w:rPr>
        <w:t xml:space="preserve">PREGUNTA  </w:t>
      </w:r>
      <w:r>
        <w:rPr>
          <w:sz w:val="20"/>
        </w:rPr>
        <w:t>¿La arquitectura es de una sola región o permite segregar datos por región? Si un cliente exigiera que sus datos estuvieran en Brasil, ¿qué ocurriría?</w:t>
      </w:r>
    </w:p>
    <w:p>
      <w:r>
        <w:rPr>
          <w:b/>
        </w:rPr>
        <w:t>Región única</w:t>
      </w:r>
      <w:r>
        <w:rPr>
          <w:b w:val="0"/>
        </w:rPr>
        <w:t>: toda la infraestructura reside en la Unión Europea, en Fráncfort.</w:t>
      </w:r>
    </w:p>
    <w:p>
      <w:r>
        <w:rPr>
          <w:b w:val="0"/>
        </w:rPr>
        <w:t>Si un cliente exigiera alojamiento en Brasil, hoy no sería posible sin crear un segundo proyecto independiente y duplicar el despliegue. No es una opción de configuración: es un trabajo de arquitectura considerable.</w:t>
      </w:r>
    </w:p>
    <w:p>
      <w:pPr>
        <w:pStyle w:val="Nota"/>
      </w:pPr>
      <w:r>
        <w:rPr>
          <w:b w:val="0"/>
        </w:rPr>
        <w:t>NOTA — Conviene no prometer segregación regional en ninguna oferta comercial hasta que exista.</w:t>
      </w:r>
    </w:p>
    <w:p>
      <w:pPr>
        <w:pStyle w:val="Heading2"/>
      </w:pPr>
      <w:r>
        <w:t>24. Copias de seguridad</w:t>
      </w:r>
    </w:p>
    <w:p>
      <w:pPr>
        <w:pStyle w:val="Literal"/>
        <w:shd w:val="clear" w:fill="F1F5F1"/>
      </w:pPr>
      <w:r>
        <w:rPr>
          <w:b/>
          <w:color w:val="0B4F26"/>
          <w:sz w:val="16"/>
        </w:rPr>
        <w:t xml:space="preserve">PREGUNTA  </w:t>
      </w:r>
      <w:r>
        <w:rPr>
          <w:sz w:val="20"/>
        </w:rPr>
        <w:t>¿Dónde están las copias de seguridad: región, retención, cifrado, quién tiene acceso a la restauración?</w:t>
      </w:r>
    </w:p>
    <w:p>
      <w:r>
        <w:rPr>
          <w:b/>
          <w:highlight w:val="yellow"/>
        </w:rPr>
        <w:t>Pendiente de verificación en el panel del proveedor.</w:t>
      </w:r>
      <w:r>
        <w:rPr>
          <w:b w:val="0"/>
        </w:rPr>
        <w:t xml:space="preserve"> Las copias las gestiona la infraestructura contratada, en la misma región europea. </w:t>
      </w:r>
      <w:r>
        <w:rPr>
          <w:b/>
        </w:rPr>
        <w:t>No consta</w:t>
      </w:r>
      <w:r>
        <w:rPr>
          <w:b w:val="0"/>
        </w:rPr>
        <w:t xml:space="preserve"> la política de retención aplicable al plan contratado, ni que se haya realizado nunca una prueba de restauración.</w:t>
      </w:r>
    </w:p>
    <w:p>
      <w:pPr>
        <w:pStyle w:val="Nota"/>
      </w:pPr>
      <w:r>
        <w:rPr>
          <w:b w:val="0"/>
        </w:rPr>
        <w:t>NOTA — Es uno de los tres puntos que el Anexo II del borrador no puede afirmar hoy. Una auditoría pregunta por el objetivo de recuperación y por la fecha de la última restauración probada; conviene poder responder.</w:t>
      </w:r>
    </w:p>
    <w:p>
      <w:pPr>
        <w:pStyle w:val="Heading2"/>
      </w:pPr>
      <w:r>
        <w:t>25. Entorno de pruebas</w:t>
      </w:r>
    </w:p>
    <w:p>
      <w:pPr>
        <w:pStyle w:val="Literal"/>
        <w:shd w:val="clear" w:fill="F1F5F1"/>
      </w:pPr>
      <w:r>
        <w:rPr>
          <w:b/>
          <w:color w:val="0B4F26"/>
          <w:sz w:val="16"/>
        </w:rPr>
        <w:t xml:space="preserve">PREGUNTA  </w:t>
      </w:r>
      <w:r>
        <w:rPr>
          <w:sz w:val="20"/>
        </w:rPr>
        <w:t>Cuando vais a modificar o probar algo en el sistema, ¿lo hacéis en un entorno separado o directamente en el sistema que usan los clientes? Si es en un entorno separado, ¿funciona con datos inventados o con una copia de los datos reales de los jugadores?</w:t>
      </w:r>
    </w:p>
    <w:p>
      <w:r>
        <w:rPr>
          <w:b/>
        </w:rPr>
        <w:t>No existe entorno separado.</w:t>
      </w:r>
      <w:r>
        <w:rPr>
          <w:b w:val="0"/>
        </w:rPr>
        <w:t xml:space="preserve"> Los cambios de esquema y las correcciones se aplican directamente sobre el sistema que utilizan los clubes.</w:t>
      </w:r>
    </w:p>
    <w:p>
      <w:pPr>
        <w:pStyle w:val="Nota"/>
      </w:pPr>
      <w:r>
        <w:rPr>
          <w:b w:val="0"/>
        </w:rPr>
        <w:t>NOTA — Es probablemente el hallazgo operativo más relevante de este bloque. No implica que se trabaje con datos reales en un entorno de juguete —que sería peor—, sino lo contrario: que no hay red de seguridad entre una equivocación y los datos de los clientes. Conviene al menos disponer de un entorno de pruebas con datos inventados antes de firmar compromisos de disponibilidad.</w:t>
      </w:r>
    </w:p>
    <w:p>
      <w:pPr>
        <w:pStyle w:val="Heading2"/>
      </w:pPr>
      <w:r>
        <w:t>26. Personas con credenciales de administrador</w:t>
      </w:r>
    </w:p>
    <w:p>
      <w:pPr>
        <w:pStyle w:val="Literal"/>
        <w:shd w:val="clear" w:fill="F1F5F1"/>
      </w:pPr>
      <w:r>
        <w:rPr>
          <w:b/>
          <w:color w:val="0B4F26"/>
          <w:sz w:val="16"/>
        </w:rPr>
        <w:t xml:space="preserve">PREGUNTA  </w:t>
      </w:r>
      <w:r>
        <w:rPr>
          <w:sz w:val="20"/>
        </w:rPr>
        <w:t>¿Cuántas personas tienen credenciales de administrador de Supabase o de la base de datos hoy?</w:t>
      </w:r>
    </w:p>
    <w:p>
      <w:r>
        <w:rPr>
          <w:b w:val="0"/>
        </w:rPr>
        <w:t>Hay que distinguir dos niveles:</w:t>
      </w:r>
    </w:p>
    <w:p>
      <w:pPr>
        <w:pStyle w:val="ListBullet"/>
      </w:pPr>
      <w:r>
        <w:rPr>
          <w:b/>
        </w:rPr>
        <w:t>Administradores de plataforma dentro de la aplicación</w:t>
      </w:r>
      <w:r>
        <w:rPr>
          <w:b w:val="0"/>
        </w:rPr>
        <w:t>: dos, los dos socios, desde el 16 de septiembre de 2026. Su acceso a datos de club está sujeto a autorización previa del club, caducidad y registro.</w:t>
      </w:r>
    </w:p>
    <w:p>
      <w:pPr>
        <w:pStyle w:val="ListBullet"/>
      </w:pPr>
      <w:r>
        <w:rPr>
          <w:b/>
        </w:rPr>
        <w:t>Credenciales de la base de datos</w:t>
      </w:r>
      <w:r>
        <w:rPr>
          <w:b w:val="0"/>
        </w:rPr>
        <w:t xml:space="preserve">: </w:t>
      </w:r>
      <w:r>
        <w:rPr>
          <w:b/>
          <w:highlight w:val="yellow"/>
        </w:rPr>
        <w:t>una persona, Joaquín Reiris</w:t>
      </w:r>
      <w:r>
        <w:rPr>
          <w:b w:val="0"/>
        </w:rPr>
        <w:t>. Este nivel no pasa por la aplicación y, por tanto, no queda sujeto al mecanismo anterior.</w:t>
      </w:r>
    </w:p>
    <w:p>
      <w:pPr>
        <w:pStyle w:val="Nota"/>
      </w:pPr>
      <w:r>
        <w:rPr>
          <w:b w:val="0"/>
        </w:rPr>
        <w:t>NOTA — Esta segunda cifra es la que importa a efectos de seguridad. Conviene declararla tal cual y acompañarla de doble factor obligatorio.</w:t>
      </w:r>
    </w:p>
    <w:p>
      <w:pPr>
        <w:pStyle w:val="Heading2"/>
      </w:pPr>
      <w:r>
        <w:t>27. Traspaso de jugador y supresión por titular</w:t>
      </w:r>
    </w:p>
    <w:p>
      <w:pPr>
        <w:pStyle w:val="Literal"/>
        <w:shd w:val="clear" w:fill="F1F5F1"/>
      </w:pPr>
      <w:r>
        <w:rPr>
          <w:b/>
          <w:color w:val="0B4F26"/>
          <w:sz w:val="16"/>
        </w:rPr>
        <w:t xml:space="preserve">PREGUNTA  </w:t>
      </w:r>
      <w:r>
        <w:rPr>
          <w:sz w:val="20"/>
        </w:rPr>
        <w:t>¿Qué ocurre con los datos cuando un jugador se traspasa a otro club? ¿Está previsto algún mecanismo de retención o supresión por titular — es decir, borrar los datos de un jugador concreto manteniendo intacto el resto de la base, incluidos vídeos, documentos clínicos y copias de seguridad?</w:t>
      </w:r>
    </w:p>
    <w:p>
      <w:r>
        <w:rPr>
          <w:b/>
        </w:rPr>
        <w:t>No existe mecanismo de supresión por titular.</w:t>
      </w:r>
      <w:r>
        <w:rPr>
          <w:b w:val="0"/>
        </w:rPr>
        <w:t xml:space="preserve"> Las fichas de jugador se </w:t>
      </w:r>
      <w:r>
        <w:rPr>
          <w:b/>
        </w:rPr>
        <w:t>archivan</w:t>
      </w:r>
      <w:r>
        <w:rPr>
          <w:b w:val="0"/>
        </w:rPr>
        <w:t>, no se borran: la información permanece en la base con una marca de archivado.</w:t>
      </w:r>
    </w:p>
    <w:p>
      <w:r>
        <w:rPr>
          <w:b w:val="0"/>
        </w:rPr>
        <w:t>En consecuencia, hoy no es posible atender una solicitud de supresión de un jugador concreto manteniendo el resto de la base, ni propagar esa supresión a vídeos, documentos clínicos y copias de seguridad.</w:t>
      </w:r>
    </w:p>
    <w:p>
      <w:pPr>
        <w:pStyle w:val="Nota"/>
      </w:pPr>
      <w:r>
        <w:rPr>
          <w:b w:val="0"/>
        </w:rPr>
        <w:t>NOTA — Es la carencia más seria de este bloque en términos de cumplimiento, porque afecta a un derecho del interesado y no a una medida organizativa. Requiere desarrollo: identificar todo lo asociado a un jugador, decidir qué se suprime y qué se anonimiza —los datos de carga agregada del equipo perderían sentido si desaparecen sin más— y documentar el procedimiento.</w:t>
      </w:r>
    </w:p>
    <w:p>
      <w:pPr>
        <w:pStyle w:val="Heading2"/>
      </w:pPr>
      <w:r>
        <w:t>28. Revocación de la autorización de imagen</w:t>
      </w:r>
    </w:p>
    <w:p>
      <w:pPr>
        <w:pStyle w:val="Literal"/>
        <w:shd w:val="clear" w:fill="F1F5F1"/>
      </w:pPr>
      <w:r>
        <w:rPr>
          <w:b/>
          <w:color w:val="0B4F26"/>
          <w:sz w:val="16"/>
        </w:rPr>
        <w:t xml:space="preserve">PREGUNTA  </w:t>
      </w:r>
      <w:r>
        <w:rPr>
          <w:sz w:val="20"/>
        </w:rPr>
        <w:t>Para los jugadores profesionales, la imagen suele estar cedida en el contrato laboral, de modo que la revocación es rara. En cambio, para los jugadores de cantera y menores, la autorización la dan los padres y puede retirarse en cualquier momento. En ese caso, ¿qué ocurre con el material ya existente? Un vídeo de entrenamiento muestra a varios jugadores a la vez: ¿el corte entero deja de estar disponible, queda restringido, o no cambia nada de forma automática y la decisión queda en manos del club?</w:t>
      </w:r>
    </w:p>
    <w:p>
      <w:r>
        <w:rPr>
          <w:b/>
        </w:rPr>
        <w:t>Hoy no ocurre nada de forma automática.</w:t>
      </w:r>
      <w:r>
        <w:rPr>
          <w:b w:val="0"/>
        </w:rPr>
        <w:t xml:space="preserve"> El material existente permanece accesible y la decisión queda íntegramente en manos del club.</w:t>
      </w:r>
    </w:p>
    <w:p>
      <w:r>
        <w:rPr>
          <w:b w:val="0"/>
        </w:rPr>
        <w:t xml:space="preserve">Se añade una circunstancia relevante: los vídeos </w:t>
      </w:r>
      <w:r>
        <w:rPr>
          <w:b/>
        </w:rPr>
        <w:t>no residen en la plataforma</w:t>
      </w:r>
      <w:r>
        <w:rPr>
          <w:b w:val="0"/>
        </w:rPr>
        <w:t>, sino en servicios externos. ClavaMetrics almacena el enlace, no el archivo. Aunque se implantara una restricción, no alcanzaría al archivo alojado fuera.</w:t>
      </w:r>
    </w:p>
    <w:p>
      <w:pPr>
        <w:pStyle w:val="Nota"/>
      </w:pPr>
      <w:r>
        <w:rPr>
          <w:b w:val="0"/>
        </w:rPr>
        <w:t>NOTA — El supuesto que plantea la pregunta —un corte donde aparecen varios jugadores y uno revoca— no tiene hoy solución técnica ni previsión contractual. Conviene decidir la regla: retirada del corte completo, restricción de visionado, o traslado expreso de la decisión al club. Cualquiera de las tres es defendible; no tener ninguna, no.</w:t>
      </w:r>
    </w:p>
    <w:p>
      <w:pPr>
        <w:pStyle w:val="Heading2"/>
      </w:pPr>
      <w:r>
        <w:t>29. ¿Puede el sistema generar la relación de fichas de menores?</w:t>
      </w:r>
    </w:p>
    <w:p>
      <w:pPr>
        <w:pStyle w:val="Literal"/>
        <w:shd w:val="clear" w:fill="F1F5F1"/>
      </w:pPr>
      <w:r>
        <w:rPr>
          <w:b/>
          <w:color w:val="0B4F26"/>
          <w:sz w:val="16"/>
        </w:rPr>
        <w:t xml:space="preserve">PREGUNTA  </w:t>
      </w:r>
      <w:r>
        <w:rPr>
          <w:sz w:val="20"/>
        </w:rPr>
        <w:t>¿Puede el sistema generar, en cualquier momento, la relación de fichas clasificadas como menores?</w:t>
      </w:r>
    </w:p>
    <w:p>
      <w:r>
        <w:rPr>
          <w:b/>
        </w:rPr>
        <w:t>Sí, en cualquier momento</w:t>
      </w:r>
      <w:r>
        <w:rPr>
          <w:b w:val="0"/>
        </w:rPr>
        <w:t>, desde el 16 de septiembre de 2026, fecha en que la fecha de nacimiento pasó a ser obligatoria al crear y al modificar una ficha.</w:t>
      </w:r>
    </w:p>
    <w:p>
      <w:r>
        <w:rPr>
          <w:b w:val="0"/>
        </w:rPr>
        <w:t xml:space="preserve">Situación a 18 de septiembre de 2026, sobre fichas activas: </w:t>
      </w:r>
      <w:r>
        <w:rPr>
          <w:b/>
        </w:rPr>
        <w:t>25 jugadores menores de edad</w:t>
      </w:r>
      <w:r>
        <w:rPr>
          <w:b w:val="0"/>
        </w:rPr>
        <w:t xml:space="preserve"> —22 en un club y 3 en su equipo sub-18— y </w:t>
      </w:r>
      <w:r>
        <w:rPr>
          <w:b/>
        </w:rPr>
        <w:t>5 fichas sin fecha de nacimiento</w:t>
      </w:r>
      <w:r>
        <w:rPr>
          <w:b w:val="0"/>
        </w:rPr>
        <w:t>, todas ellas heredadas y pendientes de completar. El más joven registrado nació en diciembre de 2010.</w:t>
      </w:r>
    </w:p>
    <w:p>
      <w:r>
        <w:rPr>
          <w:b w:val="0"/>
        </w:rPr>
        <w:t>La aplicación muestra además, de forma permanente, un aviso con el número de fichas incompletas y un filtro para localizarlas.</w:t>
      </w:r>
    </w:p>
    <w:p>
      <w:pPr>
        <w:pStyle w:val="Nota"/>
      </w:pPr>
      <w:r>
        <w:rPr>
          <w:b w:val="0"/>
        </w:rPr>
        <w:t>NOTA — Mientras queden esas 5 fichas, la cifra de menores es un mínimo y no una certeza. Conviene cerrarlas antes de firmar cualquier contrato.</w:t>
      </w:r>
    </w:p>
    <w:p>
      <w:r>
        <w:br w:type="page"/>
      </w:r>
    </w:p>
    <w:p>
      <w:pPr>
        <w:pStyle w:val="Heading1"/>
      </w:pPr>
      <w:r>
        <w:t>Resumen de lo que falta por decidir o verificar</w:t>
      </w:r>
    </w:p>
    <w:p>
      <w:pPr>
        <w:pStyle w:val="ListNumber"/>
      </w:pPr>
      <w:r>
        <w:rPr>
          <w:b w:val="0"/>
        </w:rPr>
        <w:t>Confirmar si el Clava FC contiene datos de personas reales. Condiciona el argumento de aplicabilidad del RGPD y, con él, la cláusula de ley aplicable.</w:t>
      </w:r>
    </w:p>
    <w:p>
      <w:pPr>
        <w:pStyle w:val="ListNumber"/>
      </w:pPr>
      <w:r>
        <w:rPr>
          <w:b w:val="0"/>
        </w:rPr>
        <w:t>Confirmar si alguna herramienta de trabajo ha recibido datos de jugadores.</w:t>
      </w:r>
    </w:p>
    <w:p>
      <w:pPr>
        <w:pStyle w:val="ListNumber"/>
      </w:pPr>
      <w:r>
        <w:rPr>
          <w:b w:val="0"/>
        </w:rPr>
        <w:t>Revisar las ocho cuentas de proveedor y aceptar o firmar su acuerdo de tratamiento.</w:t>
      </w:r>
    </w:p>
    <w:p>
      <w:pPr>
        <w:pStyle w:val="ListNumber"/>
      </w:pPr>
      <w:r>
        <w:rPr>
          <w:b w:val="0"/>
        </w:rPr>
        <w:t>Decidir si se atiende a cantera y clubes amateurs, y con qué régimen.</w:t>
      </w:r>
    </w:p>
    <w:p>
      <w:pPr>
        <w:pStyle w:val="ListNumber"/>
      </w:pPr>
      <w:r>
        <w:rPr>
          <w:b w:val="0"/>
        </w:rPr>
        <w:t>Decidir si el benchmarking entre clubes entra en la hoja de ruta.</w:t>
      </w:r>
    </w:p>
    <w:p>
      <w:pPr>
        <w:pStyle w:val="ListNumber"/>
      </w:pPr>
      <w:r>
        <w:rPr>
          <w:b w:val="0"/>
        </w:rPr>
        <w:t>Verificar la política de copias de seguridad y realizar una prueba de restauración.</w:t>
      </w:r>
    </w:p>
    <w:p>
      <w:pPr>
        <w:pStyle w:val="ListNumber"/>
      </w:pPr>
      <w:r>
        <w:rPr>
          <w:b w:val="0"/>
        </w:rPr>
        <w:t>Fijar la regla aplicable a la revocación de la autorización de imagen.</w:t>
      </w:r>
    </w:p>
    <w:p>
      <w:pPr>
        <w:pStyle w:val="ListNumber"/>
      </w:pPr>
      <w:r>
        <w:rPr>
          <w:b w:val="0"/>
        </w:rPr>
        <w:t>Desarrollar el mecanismo de supresión por titular.</w:t>
      </w:r>
    </w:p>
    <w:p>
      <w:pPr>
        <w:pStyle w:val="ListNumber"/>
      </w:pPr>
      <w:r>
        <w:rPr>
          <w:b w:val="0"/>
        </w:rPr>
        <w:t>Completar las 5 fichas sin fecha de nacimiento.</w:t>
      </w:r>
    </w:p>
    <w:p>
      <w:pPr>
        <w:pStyle w:val="ListNumber"/>
      </w:pPr>
      <w:r>
        <w:rPr>
          <w:b w:val="0"/>
        </w:rPr>
        <w:t>Redactar el procedimiento de respuesta a incidentes, con designación de contacto y horario.</w:t>
      </w:r>
    </w:p>
    <w:p>
      <w:pPr>
        <w:pStyle w:val="ListNumber"/>
      </w:pPr>
      <w:r>
        <w:rPr>
          <w:b w:val="0"/>
        </w:rPr>
        <w:t>Formalizar el acuerdo de confidencialidad entre los socios.</w:t>
      </w:r>
    </w:p>
    <w:p>
      <w:pPr>
        <w:pStyle w:val="ListNumber"/>
      </w:pPr>
      <w:r>
        <w:rPr>
          <w:b w:val="0"/>
        </w:rPr>
        <w:t>Valorar la obligación de designar representante en la Unión, según la jurisdicción elegida.</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62"/>
        <w:sz w:val="16"/>
      </w:rPr>
      <w:t>ClavaMetrics · Respuestas al cuestionario técnico · 18 de septiembre de 2026 ·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41C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0B4F26"/>
      <w:sz w:val="32"/>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41C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teral">
    <w:name w:val="Literal"/>
    <w:basedOn w:val="Normal"/>
    <w:pPr>
      <w:spacing w:before="60" w:after="180"/>
      <w:ind w:left="170" w:right="170"/>
    </w:pPr>
    <w:rPr>
      <w:color w:val="141C17"/>
      <w:sz w:val="20"/>
    </w:rPr>
  </w:style>
  <w:style w:type="paragraph" w:customStyle="1" w:styleId="Nota">
    <w:name w:val="Nota"/>
    <w:basedOn w:val="Normal"/>
    <w:pPr>
      <w:spacing w:after="180"/>
      <w:ind w:left="397"/>
    </w:pPr>
    <w:rPr>
      <w:i/>
      <w:color w:val="5C6B6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