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ClavaMetrics</w:t>
      </w:r>
    </w:p>
    <w:p>
      <w:pPr>
        <w:pStyle w:val="Subtitle"/>
      </w:pPr>
      <w:r>
        <w:rPr>
          <w:b w:val="0"/>
          <w:i w:val="0"/>
        </w:rPr>
        <w:t>Derechos de imagen y tratamiento de menores</w:t>
      </w:r>
    </w:p>
    <w:p>
      <w:r>
        <w:rPr>
          <w:b w:val="0"/>
          <w:i/>
        </w:rPr>
        <w:t>Documento complementario al contrato de encargo del tratamiento</w:t>
      </w:r>
    </w:p>
    <w:p>
      <w:r>
        <w:rPr>
          <w:b w:val="0"/>
          <w:i w:val="0"/>
        </w:rPr>
        <w:t>17 de septiembre de 2026 · Borrador para revisión letrada</w:t>
      </w:r>
    </w:p>
    <w:p/>
    <w:p>
      <w:pPr>
        <w:pStyle w:val="Heading1"/>
      </w:pPr>
      <w:r>
        <w:t>0. Qué es este documento y qué no repite</w:t>
      </w:r>
    </w:p>
    <w:p>
      <w:r>
        <w:rPr>
          <w:b w:val="0"/>
          <w:i w:val="0"/>
        </w:rPr>
        <w:t>Este documento continúa el que ya obra en su poder («Encargo del tratamiento y conflicto de interés»). No reproduce su contenido: ni el articulado del encargo, ni la cláusula de conflicto de interés, ni los anexos I a III. Se remite a ellos donde corresponde.</w:t>
      </w:r>
    </w:p>
    <w:p>
      <w:r>
        <w:rPr>
          <w:b w:val="0"/>
          <w:i w:val="0"/>
        </w:rPr>
        <w:t>Trata un eje que aquel documento sólo enunció como hallazgo pendiente y que ahora exige decisión, porque el producto está a punto de cambiar de rol respecto de él: los derechos de imagen de los jugadores, y en particular de los menores.</w:t>
      </w:r>
    </w:p>
    <w:p>
      <w:r>
        <w:rPr>
          <w:b/>
        </w:rPr>
        <w:t xml:space="preserve">Relación con lo ya entregado. </w:t>
      </w:r>
      <w:r>
        <w:rPr>
          <w:b w:val="0"/>
        </w:rPr>
        <w:t>El documento anterior identificó dos hallazgos que aquí se retoman y se actualizan: el 1.1 (menores con datos de salud, sin circuito de consentimiento parental) y el 1.2 (alojamiento de vídeo fuera de la plataforma). Ambos han cambiado de estado desde entonces. El Anexo IV de aquel documento sigue vigente en lo relativo a datos de salud; lo que sigue se refiere a la imagen, que es un derecho distinto.</w:t>
      </w:r>
    </w:p>
    <w:p>
      <w:pPr>
        <w:pStyle w:val="Heading2"/>
      </w:pPr>
      <w:r>
        <w:t>Qué se le pide</w:t>
      </w:r>
    </w:p>
    <w:p>
      <w:r>
        <w:rPr>
          <w:b w:val="0"/>
          <w:i w:val="0"/>
        </w:rPr>
        <w:t>Que valide o corrija el criterio aplicado, y que responda las seis cuestiones de la sección 6. Las decisiones de producto están tomadas de forma reversible justamente para poder ajustarlas a su respuesta.</w:t>
      </w:r>
    </w:p>
    <w:p>
      <w:pPr>
        <w:pStyle w:val="Heading1"/>
      </w:pPr>
      <w:r>
        <w:t>1. Dos derechos distintos que el encargo no cubre</w:t>
      </w:r>
    </w:p>
    <w:p>
      <w:r>
        <w:rPr>
          <w:b w:val="0"/>
          <w:i w:val="0"/>
        </w:rPr>
        <w:t>El contrato de encargo regula el tratamiento de datos personales conforme al artículo 28 RGPD. El derecho a la propia imagen es un derecho fundamental autónomo, con su propia norma —en España, la Ley Orgánica 1/1982— y su propio régimen de consentimiento.</w:t>
      </w:r>
    </w:p>
    <w:p>
      <w:r>
        <w:rPr>
          <w:b w:val="0"/>
        </w:rPr>
        <w:t xml:space="preserve">La consecuencia práctica es que </w:t>
      </w:r>
      <w:r>
        <w:rPr>
          <w:b/>
        </w:rPr>
        <w:t>el consentimiento informado que un club recoge para el tratamiento de datos no le atribuye por sí solo derechos sobre la imagen de sus jugadores</w:t>
      </w:r>
      <w:r>
        <w:rPr>
          <w:b w:val="0"/>
        </w:rPr>
        <w:t>, y a la inversa. Son dos habilitaciones separadas, y hasta ahora ClavaMetrics sólo contemplaba la primera.</w:t>
      </w:r>
    </w:p>
    <w:p>
      <w:r>
        <w:rPr>
          <w:b w:val="0"/>
          <w:i w:val="0"/>
        </w:rPr>
        <w:t>Esta distinción es la razón por la que el registro descrito en la sección 4 se ha construido como una estructura independiente, y no colgando de la aceptación de los Términos del servicio ni del consentimiento comercial.</w:t>
      </w:r>
    </w:p>
    <w:p>
      <w:pPr>
        <w:pStyle w:val="Heading1"/>
      </w:pPr>
      <w:r>
        <w:t>2. Lo que cambia: de referenciar el vídeo a alojarlo</w:t>
      </w:r>
    </w:p>
    <w:p>
      <w:r>
        <w:rPr>
          <w:b w:val="0"/>
          <w:i w:val="0"/>
        </w:rPr>
        <w:t>El hallazgo 1.2 del documento anterior constató que los vídeos de los clubes residen en servicios externos (Dropbox, Google Drive, YouTube, Vimeo) y que ClavaMetrics almacena únicamente el enlace. En esa configuración, quien trata la imagen es el club; la plataforma no la posee.</w:t>
      </w:r>
    </w:p>
    <w:p>
      <w:r>
        <w:rPr>
          <w:b w:val="0"/>
        </w:rPr>
        <w:t xml:space="preserve">Está previsto modificar esa arquitectura y alojar el vídeo en la propia plataforma. </w:t>
      </w:r>
      <w:r>
        <w:rPr>
          <w:b/>
        </w:rPr>
        <w:t>Ese cambio convierte a ClavaMetrics en encargada del tratamiento de imágenes de personas identificables, muchas de ellas menores</w:t>
      </w:r>
      <w:r>
        <w:rPr>
          <w:b w:val="0"/>
        </w:rPr>
        <w:t>. No es una ampliación menor del objeto del encargo: es la incorporación de una categoría de datos que hoy no está en el Anexo I.</w:t>
      </w:r>
    </w:p>
    <w:p>
      <w:r>
        <w:rPr>
          <w:b w:val="0"/>
          <w:i w:val="0"/>
        </w:rPr>
        <w:t>El proveedor previsto para ese alojamiento es Bunny.net (sociedad eslovena, almacenamiento en la Unión Europea), que habría de incorporarse al Anexo III como subencargado antes de cualquier tratamiento efectivo.</w:t>
      </w:r>
    </w:p>
    <w:p>
      <w:r>
        <w:rPr>
          <w:b/>
        </w:rPr>
        <w:t xml:space="preserve">Decisión de calendario. </w:t>
      </w:r>
      <w:r>
        <w:rPr>
          <w:b w:val="0"/>
        </w:rPr>
        <w:t>El alojamiento de vídeo no se activará hasta que el circuito de consentimiento esté operativo y usted haya validado su suficiencia. El orden es deliberado: primero la habilitación, después el tratamiento.</w:t>
      </w:r>
    </w:p>
    <w:p>
      <w:pPr>
        <w:pStyle w:val="Heading1"/>
      </w:pPr>
      <w:r>
        <w:t>3. Situación real del plantel a 17 de septiembre de 2026</w:t>
      </w:r>
    </w:p>
    <w:p>
      <w:r>
        <w:rPr>
          <w:b w:val="0"/>
          <w:i w:val="0"/>
        </w:rPr>
        <w:t>Las cifras siguientes proceden de la base de datos en producción, no de una estimación. Se refieren a fichas activas; existen además 14 fichas archivadas.</w:t>
      </w:r>
    </w:p>
    <w:tbl>
      <w:tblPr>
        <w:tblStyle w:val="LightGrid-Accent1"/>
        <w:tblW w:type="auto" w:w="0"/>
        <w:tblLook w:firstColumn="1" w:firstRow="1" w:lastColumn="0" w:lastRow="0" w:noHBand="0" w:noVBand="1" w:val="04A0"/>
      </w:tblPr>
      <w:tblGrid>
        <w:gridCol w:w="1858"/>
        <w:gridCol w:w="1858"/>
        <w:gridCol w:w="1858"/>
        <w:gridCol w:w="1858"/>
        <w:gridCol w:w="1858"/>
      </w:tblGrid>
      <w:tr>
        <w:tc>
          <w:tcPr>
            <w:tcW w:type="dxa" w:w="1858"/>
          </w:tcPr>
          <w:p>
            <w:r/>
            <w:r>
              <w:rPr>
                <w:b/>
              </w:rPr>
              <w:t>Club</w:t>
            </w:r>
          </w:p>
        </w:tc>
        <w:tc>
          <w:tcPr>
            <w:tcW w:type="dxa" w:w="1858"/>
          </w:tcPr>
          <w:p>
            <w:r/>
            <w:r>
              <w:rPr>
                <w:b/>
              </w:rPr>
              <w:t>País</w:t>
            </w:r>
          </w:p>
        </w:tc>
        <w:tc>
          <w:tcPr>
            <w:tcW w:type="dxa" w:w="1858"/>
          </w:tcPr>
          <w:p>
            <w:r/>
            <w:r>
              <w:rPr>
                <w:b/>
              </w:rPr>
              <w:t>Fichas activas</w:t>
            </w:r>
          </w:p>
        </w:tc>
        <w:tc>
          <w:tcPr>
            <w:tcW w:type="dxa" w:w="1858"/>
          </w:tcPr>
          <w:p>
            <w:r/>
            <w:r>
              <w:rPr>
                <w:b/>
              </w:rPr>
              <w:t>Menores</w:t>
            </w:r>
          </w:p>
        </w:tc>
        <w:tc>
          <w:tcPr>
            <w:tcW w:type="dxa" w:w="1858"/>
          </w:tcPr>
          <w:p>
            <w:r/>
            <w:r>
              <w:rPr>
                <w:b/>
              </w:rPr>
              <w:t>Sin fecha de nacimiento</w:t>
            </w:r>
          </w:p>
        </w:tc>
      </w:tr>
      <w:tr>
        <w:tc>
          <w:tcPr>
            <w:tcW w:type="dxa" w:w="1858"/>
          </w:tcPr>
          <w:p>
            <w:r/>
            <w:r>
              <w:t>MOI Kompong DEWA</w:t>
            </w:r>
          </w:p>
        </w:tc>
        <w:tc>
          <w:tcPr>
            <w:tcW w:type="dxa" w:w="1858"/>
          </w:tcPr>
          <w:p>
            <w:r/>
            <w:r>
              <w:t>Camboya</w:t>
            </w:r>
          </w:p>
        </w:tc>
        <w:tc>
          <w:tcPr>
            <w:tcW w:type="dxa" w:w="1858"/>
          </w:tcPr>
          <w:p>
            <w:r/>
            <w:r>
              <w:t>78</w:t>
            </w:r>
          </w:p>
        </w:tc>
        <w:tc>
          <w:tcPr>
            <w:tcW w:type="dxa" w:w="1858"/>
          </w:tcPr>
          <w:p>
            <w:r/>
            <w:r>
              <w:t>19</w:t>
            </w:r>
          </w:p>
        </w:tc>
        <w:tc>
          <w:tcPr>
            <w:tcW w:type="dxa" w:w="1858"/>
          </w:tcPr>
          <w:p>
            <w:r/>
            <w:r>
              <w:t>6</w:t>
            </w:r>
          </w:p>
        </w:tc>
      </w:tr>
      <w:tr>
        <w:tc>
          <w:tcPr>
            <w:tcW w:type="dxa" w:w="1858"/>
          </w:tcPr>
          <w:p>
            <w:r/>
            <w:r>
              <w:t>MOI Kompong DEWA FC U18</w:t>
            </w:r>
          </w:p>
        </w:tc>
        <w:tc>
          <w:tcPr>
            <w:tcW w:type="dxa" w:w="1858"/>
          </w:tcPr>
          <w:p>
            <w:r/>
            <w:r>
              <w:t>Camboya</w:t>
            </w:r>
          </w:p>
        </w:tc>
        <w:tc>
          <w:tcPr>
            <w:tcW w:type="dxa" w:w="1858"/>
          </w:tcPr>
          <w:p>
            <w:r/>
            <w:r>
              <w:t>11</w:t>
            </w:r>
          </w:p>
        </w:tc>
        <w:tc>
          <w:tcPr>
            <w:tcW w:type="dxa" w:w="1858"/>
          </w:tcPr>
          <w:p>
            <w:r/>
            <w:r>
              <w:t>3</w:t>
            </w:r>
          </w:p>
        </w:tc>
        <w:tc>
          <w:tcPr>
            <w:tcW w:type="dxa" w:w="1858"/>
          </w:tcPr>
          <w:p>
            <w:r/>
            <w:r>
              <w:t>5</w:t>
            </w:r>
          </w:p>
        </w:tc>
      </w:tr>
      <w:tr>
        <w:tc>
          <w:tcPr>
            <w:tcW w:type="dxa" w:w="1858"/>
          </w:tcPr>
          <w:p>
            <w:r/>
            <w:r>
              <w:t>Clava FC</w:t>
            </w:r>
          </w:p>
        </w:tc>
        <w:tc>
          <w:tcPr>
            <w:tcW w:type="dxa" w:w="1858"/>
          </w:tcPr>
          <w:p>
            <w:r/>
            <w:r>
              <w:t>España</w:t>
            </w:r>
          </w:p>
        </w:tc>
        <w:tc>
          <w:tcPr>
            <w:tcW w:type="dxa" w:w="1858"/>
          </w:tcPr>
          <w:p>
            <w:r/>
            <w:r>
              <w:t>45</w:t>
            </w:r>
          </w:p>
        </w:tc>
        <w:tc>
          <w:tcPr>
            <w:tcW w:type="dxa" w:w="1858"/>
          </w:tcPr>
          <w:p>
            <w:r/>
            <w:r>
              <w:t>0</w:t>
            </w:r>
          </w:p>
        </w:tc>
        <w:tc>
          <w:tcPr>
            <w:tcW w:type="dxa" w:w="1858"/>
          </w:tcPr>
          <w:p>
            <w:r/>
            <w:r>
              <w:t>0</w:t>
            </w:r>
          </w:p>
        </w:tc>
      </w:tr>
      <w:tr>
        <w:tc>
          <w:tcPr>
            <w:tcW w:type="dxa" w:w="1858"/>
          </w:tcPr>
          <w:p>
            <w:r/>
            <w:r>
              <w:t>Club de prueba</w:t>
            </w:r>
          </w:p>
        </w:tc>
        <w:tc>
          <w:tcPr>
            <w:tcW w:type="dxa" w:w="1858"/>
          </w:tcPr>
          <w:p>
            <w:r/>
            <w:r>
              <w:t>—</w:t>
            </w:r>
          </w:p>
        </w:tc>
        <w:tc>
          <w:tcPr>
            <w:tcW w:type="dxa" w:w="1858"/>
          </w:tcPr>
          <w:p>
            <w:r/>
            <w:r>
              <w:t>1</w:t>
            </w:r>
          </w:p>
        </w:tc>
        <w:tc>
          <w:tcPr>
            <w:tcW w:type="dxa" w:w="1858"/>
          </w:tcPr>
          <w:p>
            <w:r/>
            <w:r>
              <w:t>0</w:t>
            </w:r>
          </w:p>
        </w:tc>
        <w:tc>
          <w:tcPr>
            <w:tcW w:type="dxa" w:w="1858"/>
          </w:tcPr>
          <w:p>
            <w:r/>
            <w:r>
              <w:t>1</w:t>
            </w:r>
          </w:p>
        </w:tc>
      </w:tr>
      <w:tr>
        <w:tc>
          <w:tcPr>
            <w:tcW w:type="dxa" w:w="1858"/>
          </w:tcPr>
          <w:p>
            <w:r/>
            <w:r>
              <w:t>Total</w:t>
            </w:r>
          </w:p>
        </w:tc>
        <w:tc>
          <w:tcPr>
            <w:tcW w:type="dxa" w:w="1858"/>
          </w:tcPr>
          <w:p>
            <w:r/>
            <w:r/>
          </w:p>
        </w:tc>
        <w:tc>
          <w:tcPr>
            <w:tcW w:type="dxa" w:w="1858"/>
          </w:tcPr>
          <w:p>
            <w:r/>
            <w:r>
              <w:t>135</w:t>
            </w:r>
          </w:p>
        </w:tc>
        <w:tc>
          <w:tcPr>
            <w:tcW w:type="dxa" w:w="1858"/>
          </w:tcPr>
          <w:p>
            <w:r/>
            <w:r>
              <w:t>22</w:t>
            </w:r>
          </w:p>
        </w:tc>
        <w:tc>
          <w:tcPr>
            <w:tcW w:type="dxa" w:w="1858"/>
          </w:tcPr>
          <w:p>
            <w:r/>
            <w:r>
              <w:t>12</w:t>
            </w:r>
          </w:p>
        </w:tc>
      </w:tr>
    </w:tbl>
    <w:p/>
    <w:p>
      <w:pPr>
        <w:pStyle w:val="Heading2"/>
      </w:pPr>
      <w:r>
        <w:t>Tres observaciones sobre estas cifras</w:t>
      </w:r>
    </w:p>
    <w:p>
      <w:r>
        <w:rPr>
          <w:b/>
        </w:rPr>
        <w:t xml:space="preserve">a) Todos los menores están en Camboya. </w:t>
      </w:r>
      <w:r>
        <w:rPr>
          <w:b w:val="0"/>
        </w:rPr>
        <w:t>El único club sujeto a normativa española no tiene ningún menor en plantilla. Esto invierte la intuición habitual: el régimen más protector aplica donde no hay menores, y los 22 menores están en la jurisdicción que el documento anterior identificó como carente de normativa equivalente en vigor (hallazgo 1.4).</w:t>
      </w:r>
    </w:p>
    <w:p>
      <w:r>
        <w:rPr>
          <w:b/>
        </w:rPr>
        <w:t xml:space="preserve">b) La categoría U18 declara sólo 3 menores sobre 11 fichas. </w:t>
      </w:r>
      <w:r>
        <w:rPr>
          <w:b w:val="0"/>
        </w:rPr>
        <w:t>En una categoría sub-18 cabría esperar que prácticamente toda la plantilla lo fuera. La diferencia se explica por las 5 fichas sin fecha de nacimiento y, posiblemente, por jugadores que ya han cumplido 18 sin cambiar de categoría. Es un problema de calidad del dato que afecta directamente a la cifra que habría que declarar ante una autoridad de control.</w:t>
      </w:r>
    </w:p>
    <w:p>
      <w:r>
        <w:rPr>
          <w:b/>
        </w:rPr>
        <w:t xml:space="preserve">c) Quedan 12 fichas sin fecha de nacimiento. </w:t>
      </w:r>
      <w:r>
        <w:rPr>
          <w:b w:val="0"/>
        </w:rPr>
        <w:t>Desde septiembre de 2026 el campo es obligatorio al crear y al editar una ficha, de modo que las pendientes se completan al pasar por ellas. Mientras tanto, esas 12 fichas no pueden ser clasificadas como mayores o menores, y el sistema las trata como no habilitadas (véase la sección 4).</w:t>
      </w:r>
    </w:p>
    <w:p>
      <w:pPr>
        <w:pStyle w:val="Heading1"/>
      </w:pPr>
      <w:r>
        <w:t>4. El circuito construido</w:t>
      </w:r>
    </w:p>
    <w:p>
      <w:r>
        <w:rPr>
          <w:b w:val="0"/>
          <w:i w:val="0"/>
        </w:rPr>
        <w:t>El hallazgo 1.1 del documento anterior señalaba la ausencia de circuito de consentimiento parental. Ese circuito ya está implementado y operativo, con las características que siguen. A fecha de hoy no contiene ningún registro: se ha construido antes de usarlo.</w:t>
      </w:r>
    </w:p>
    <w:p>
      <w:pPr>
        <w:pStyle w:val="Heading2"/>
      </w:pPr>
      <w:r>
        <w:t>4.1  Dos alcances independientes</w:t>
      </w:r>
    </w:p>
    <w:p>
      <w:r>
        <w:rPr>
          <w:b w:val="0"/>
          <w:i w:val="0"/>
        </w:rPr>
        <w:t>El consentimiento se registra por separado para dos finalidades, porque autorizar una no autoriza la otra:</w:t>
      </w:r>
    </w:p>
    <w:p>
      <w:pPr>
        <w:pStyle w:val="ListBullet"/>
      </w:pPr>
      <w:r>
        <w:t>Análisis interno: uso del vídeo y las imágenes por el cuerpo técnico, incluida su puesta a disposición del propio jugador.</w:t>
      </w:r>
    </w:p>
    <w:p>
      <w:pPr>
        <w:pStyle w:val="ListBullet"/>
      </w:pPr>
      <w:r>
        <w:t>Difusión pública: publicación en redes sociales, web del club o cualquier canal abierto a terceros.</w:t>
      </w:r>
    </w:p>
    <w:p>
      <w:r>
        <w:rPr>
          <w:b w:val="0"/>
          <w:i w:val="0"/>
        </w:rPr>
        <w:t>Se ha previsto que el caso habitual con menores sea el primero autorizado y el segundo no.</w:t>
      </w:r>
    </w:p>
    <w:p>
      <w:pPr>
        <w:pStyle w:val="Heading2"/>
      </w:pPr>
      <w:r>
        <w:t>4.2  Dos formas de acreditarlo</w:t>
      </w:r>
    </w:p>
    <w:p>
      <w:r>
        <w:rPr>
          <w:b w:val="0"/>
          <w:i w:val="0"/>
        </w:rPr>
        <w:t>El registro admite dos modalidades, según cómo obtuvo el club la autorización:</w:t>
      </w:r>
    </w:p>
    <w:p>
      <w:pPr>
        <w:pStyle w:val="ListBullet"/>
      </w:pPr>
      <w:r>
        <w:t>Por otorgantes nominados: se identifica a cada persona que autorizó (el jugador, y en su caso cada progenitor o tutor) con nombre y fecha.</w:t>
      </w:r>
    </w:p>
    <w:p>
      <w:pPr>
        <w:pStyle w:val="ListBullet"/>
      </w:pPr>
      <w:r>
        <w:t>Por declaración documental: el club declara que dispone de la autorización e indica su origen —típicamente la ficha de inscripción—, con fecha. Es la modalidad prevista para volcar autorizaciones ya existentes sobre plantillas completas.</w:t>
      </w:r>
    </w:p>
    <w:p>
      <w:r>
        <w:rPr>
          <w:b/>
        </w:rPr>
        <w:t xml:space="preserve">El documento no se sube a la plataforma. </w:t>
      </w:r>
      <w:r>
        <w:rPr>
          <w:b w:val="0"/>
        </w:rPr>
        <w:t>El criterio aplicado es que el club, en su condición de responsable del tratamiento, conserva la prueba y responde de ella; ClavaMetrics, como encargada, registra qué declaró, cuándo y con qué alcance. Custodiar copias de autorizaciones firmadas implicaría almacenar datos identificativos de terceros —los progenitores— que hoy la plataforma no trata.</w:t>
      </w:r>
    </w:p>
    <w:p>
      <w:pPr>
        <w:pStyle w:val="Heading2"/>
      </w:pPr>
      <w:r>
        <w:t>4.3  Régimen según edad</w:t>
      </w:r>
    </w:p>
    <w:p>
      <w:r>
        <w:rPr>
          <w:b w:val="0"/>
          <w:i w:val="0"/>
        </w:rPr>
        <w:t>El sistema exige distintos otorgantes en función de la edad del jugador, calculada sobre su fecha de nacimiento:</w:t>
      </w:r>
    </w:p>
    <w:tbl>
      <w:tblPr>
        <w:tblStyle w:val="LightGrid-Accent1"/>
        <w:tblW w:type="auto" w:w="0"/>
        <w:tblLook w:firstColumn="1" w:firstRow="1" w:lastColumn="0" w:lastRow="0" w:noHBand="0" w:noVBand="1" w:val="04A0"/>
      </w:tblPr>
      <w:tblGrid>
        <w:gridCol w:w="3097"/>
        <w:gridCol w:w="3097"/>
        <w:gridCol w:w="3097"/>
      </w:tblGrid>
      <w:tr>
        <w:tc>
          <w:tcPr>
            <w:tcW w:type="dxa" w:w="3097"/>
          </w:tcPr>
          <w:p>
            <w:r/>
            <w:r>
              <w:rPr>
                <w:b/>
              </w:rPr>
              <w:t>Edad</w:t>
            </w:r>
          </w:p>
        </w:tc>
        <w:tc>
          <w:tcPr>
            <w:tcW w:type="dxa" w:w="3097"/>
          </w:tcPr>
          <w:p>
            <w:r/>
            <w:r>
              <w:rPr>
                <w:b/>
              </w:rPr>
              <w:t>Quién debe autorizar</w:t>
            </w:r>
          </w:p>
        </w:tc>
        <w:tc>
          <w:tcPr>
            <w:tcW w:type="dxa" w:w="3097"/>
          </w:tcPr>
          <w:p>
            <w:r/>
            <w:r>
              <w:rPr>
                <w:b/>
              </w:rPr>
              <w:t>Fundamento aplicado</w:t>
            </w:r>
          </w:p>
        </w:tc>
      </w:tr>
      <w:tr>
        <w:tc>
          <w:tcPr>
            <w:tcW w:type="dxa" w:w="3097"/>
          </w:tcPr>
          <w:p>
            <w:r/>
            <w:r>
              <w:t>18 o más</w:t>
            </w:r>
          </w:p>
        </w:tc>
        <w:tc>
          <w:tcPr>
            <w:tcW w:type="dxa" w:w="3097"/>
          </w:tcPr>
          <w:p>
            <w:r/>
            <w:r>
              <w:t>El propio jugador</w:t>
            </w:r>
          </w:p>
        </w:tc>
        <w:tc>
          <w:tcPr>
            <w:tcW w:type="dxa" w:w="3097"/>
          </w:tcPr>
          <w:p>
            <w:r/>
            <w:r>
              <w:t>Capacidad plena</w:t>
            </w:r>
          </w:p>
        </w:tc>
      </w:tr>
      <w:tr>
        <w:tc>
          <w:tcPr>
            <w:tcW w:type="dxa" w:w="3097"/>
          </w:tcPr>
          <w:p>
            <w:r/>
            <w:r>
              <w:t>De 14 a 17</w:t>
            </w:r>
          </w:p>
        </w:tc>
        <w:tc>
          <w:tcPr>
            <w:tcW w:type="dxa" w:w="3097"/>
          </w:tcPr>
          <w:p>
            <w:r/>
            <w:r>
              <w:t>Ambos progenitores y el propio menor</w:t>
            </w:r>
          </w:p>
        </w:tc>
        <w:tc>
          <w:tcPr>
            <w:tcW w:type="dxa" w:w="3097"/>
          </w:tcPr>
          <w:p>
            <w:r/>
            <w:r>
              <w:t>Art. 156 CC (ejercicio conjunto) y art. 3 LO 1/1982</w:t>
            </w:r>
          </w:p>
        </w:tc>
      </w:tr>
      <w:tr>
        <w:tc>
          <w:tcPr>
            <w:tcW w:type="dxa" w:w="3097"/>
          </w:tcPr>
          <w:p>
            <w:r/>
            <w:r>
              <w:t>Menos de 14</w:t>
            </w:r>
          </w:p>
        </w:tc>
        <w:tc>
          <w:tcPr>
            <w:tcW w:type="dxa" w:w="3097"/>
          </w:tcPr>
          <w:p>
            <w:r/>
            <w:r>
              <w:t>Ambos progenitores</w:t>
            </w:r>
          </w:p>
        </w:tc>
        <w:tc>
          <w:tcPr>
            <w:tcW w:type="dxa" w:w="3097"/>
          </w:tcPr>
          <w:p>
            <w:r/>
            <w:r>
              <w:t>Art. 3 LO 1/1982</w:t>
            </w:r>
          </w:p>
        </w:tc>
      </w:tr>
      <w:tr>
        <w:tc>
          <w:tcPr>
            <w:tcW w:type="dxa" w:w="3097"/>
          </w:tcPr>
          <w:p>
            <w:r/>
            <w:r>
              <w:t>Sin fecha registrada</w:t>
            </w:r>
          </w:p>
        </w:tc>
        <w:tc>
          <w:tcPr>
            <w:tcW w:type="dxa" w:w="3097"/>
          </w:tcPr>
          <w:p>
            <w:r/>
            <w:r>
              <w:t>No se admite registro alguno</w:t>
            </w:r>
          </w:p>
        </w:tc>
        <w:tc>
          <w:tcPr>
            <w:tcW w:type="dxa" w:w="3097"/>
          </w:tcPr>
          <w:p>
            <w:r/>
            <w:r>
              <w:t>Criterio de cautela</w:t>
            </w:r>
          </w:p>
        </w:tc>
      </w:tr>
    </w:tbl>
    <w:p/>
    <w:p>
      <w:r>
        <w:rPr>
          <w:b/>
        </w:rPr>
        <w:t xml:space="preserve">La última fila es deliberada. </w:t>
      </w:r>
      <w:r>
        <w:rPr>
          <w:b w:val="0"/>
        </w:rPr>
        <w:t>Si el sistema no puede determinar la edad, no presume el régimen menos exigente: trata la ficha como no habilitada y no ofrece siquiera la posibilidad de registrar el consentimiento. Es la razón por la que la fecha de nacimiento se hizo obligatoria.</w:t>
      </w:r>
    </w:p>
    <w:p>
      <w:pPr>
        <w:pStyle w:val="Heading2"/>
      </w:pPr>
      <w:r>
        <w:t>4.4  Revocación y supresión</w:t>
      </w:r>
    </w:p>
    <w:p>
      <w:r>
        <w:rPr>
          <w:b w:val="0"/>
          <w:i w:val="0"/>
        </w:rPr>
        <w:t>La revocación se registra como tal, con su fecha, y no borra el consentimiento anterior: debe poder acreditarse que en una fecha determinada la autorización existió. Distinto es el ejercicio del derecho de supresión por el interesado, que sí elimina el registro junto con el resto de sus datos.</w:t>
      </w:r>
    </w:p>
    <w:p>
      <w:pPr>
        <w:pStyle w:val="Heading1"/>
      </w:pPr>
      <w:r>
        <w:t>5. Lo que el sistema no puede garantizar</w:t>
      </w:r>
    </w:p>
    <w:p>
      <w:r>
        <w:rPr>
          <w:b w:val="0"/>
          <w:i w:val="0"/>
        </w:rPr>
        <w:t>Se enumeran expresamente los límites, porque condicionan el valor probatorio del registro y por tanto la redacción que proceda.</w:t>
      </w:r>
    </w:p>
    <w:p>
      <w:r>
        <w:rPr>
          <w:b/>
        </w:rPr>
        <w:t xml:space="preserve">a) No verifica que la declaración del club sea cierta. </w:t>
      </w:r>
      <w:r>
        <w:rPr>
          <w:b w:val="0"/>
        </w:rPr>
        <w:t>Un club puede declarar que dispone de una autorización que no tiene. El registro acredita la declaración, no el hecho declarado.</w:t>
      </w:r>
    </w:p>
    <w:p>
      <w:r>
        <w:rPr>
          <w:b/>
        </w:rPr>
        <w:t xml:space="preserve">b) No verifica que la ficha de inscripción esté firmada por ambos progenitores. </w:t>
      </w:r>
      <w:r>
        <w:rPr>
          <w:b w:val="0"/>
        </w:rPr>
        <w:t>Cuando la declaración es documental y afecta a menores, el sistema advierte de este extremo antes de registrar, pero no bloquea: quien conoce el contenido del documento es el club.</w:t>
      </w:r>
    </w:p>
    <w:p>
      <w:r>
        <w:rPr>
          <w:b/>
        </w:rPr>
        <w:t xml:space="preserve">c) No distingue supuestos de progenitor único o guarda exclusiva. </w:t>
      </w:r>
      <w:r>
        <w:rPr>
          <w:b w:val="0"/>
        </w:rPr>
        <w:t>El régimen implementado exige dos otorgantes para menores. Los casos de familia monoparental, privación de patria potestad o tutela institucional no tienen hoy tratamiento diferenciado.</w:t>
      </w:r>
    </w:p>
    <w:p>
      <w:r>
        <w:rPr>
          <w:b/>
        </w:rPr>
        <w:t xml:space="preserve">d) No contempla la oposición del menor maduro. </w:t>
      </w:r>
      <w:r>
        <w:rPr>
          <w:b w:val="0"/>
        </w:rPr>
        <w:t>A partir de los 14 años se exige su consentimiento junto al de los progenitores, pero no se ha modelado el supuesto de conflicto entre ambos.</w:t>
      </w:r>
    </w:p>
    <w:p>
      <w:pPr>
        <w:pStyle w:val="Heading1"/>
      </w:pPr>
      <w:r>
        <w:t>6. Cuestiones que se someten a su criterio</w:t>
      </w:r>
    </w:p>
    <w:p>
      <w:r>
        <w:rPr>
          <w:b w:val="0"/>
          <w:i w:val="0"/>
        </w:rPr>
        <w:t>Son seis, ordenadas por el impacto que su respuesta tendría sobre el producto.</w:t>
      </w:r>
    </w:p>
    <w:p>
      <w:pPr>
        <w:pStyle w:val="Heading2"/>
      </w:pPr>
      <w:r>
        <w:t>6.1  ¿Requiere el análisis interno consentimiento de imagen?</w:t>
      </w:r>
    </w:p>
    <w:p>
      <w:r>
        <w:rPr>
          <w:b w:val="0"/>
          <w:i w:val="0"/>
        </w:rPr>
        <w:t>Es la cuestión de mayor alcance. Cabe sostener que el visionado de vídeo por el cuerpo técnico, sin difusión alguna, queda amparado por la relación deportiva y no constituye una utilización de la imagen en el sentido del art. 7.5 LO 1/1982. Si ese criterio fuera correcto, el consentimiento específico sólo resultaría exigible para la difusión pública, lo que reduciría drásticamente la carga sobre los clubes. El sistema lo exige hoy para ambos alcances por prudencia.</w:t>
      </w:r>
    </w:p>
    <w:p>
      <w:pPr>
        <w:pStyle w:val="Heading2"/>
      </w:pPr>
      <w:r>
        <w:t>6.2  ¿Es suficiente la declaración documental del club?</w:t>
      </w:r>
    </w:p>
    <w:p>
      <w:r>
        <w:rPr>
          <w:b w:val="0"/>
          <w:i w:val="0"/>
        </w:rPr>
        <w:t>Interesa saber si, en nuestra condición de encargados, basta con registrar la declaración del responsable o si debe exigirse la aportación de la evidencia. Lo segundo es técnicamente posible, pero implicaría tratar datos identificativos de los progenitores.</w:t>
      </w:r>
    </w:p>
    <w:p>
      <w:pPr>
        <w:pStyle w:val="Heading2"/>
      </w:pPr>
      <w:r>
        <w:t>6.3  ¿Qué régimen aplicamos a los 22 menores camboyanos?</w:t>
      </w:r>
    </w:p>
    <w:p>
      <w:r>
        <w:rPr>
          <w:b w:val="0"/>
          <w:i w:val="0"/>
        </w:rPr>
        <w:t>La recomendación recogida en el documento anterior fue aplicar el estándar RGPD a todos los clientes con independencia de su jurisdicción. Se solicita confirmación de que ese criterio debe extenderse también al doble consentimiento parental en materia de imagen, cuya exigencia deriva del Código Civil español.</w:t>
      </w:r>
    </w:p>
    <w:p>
      <w:pPr>
        <w:pStyle w:val="Heading2"/>
      </w:pPr>
      <w:r>
        <w:t>6.4  ¿Vale una ficha de inscripción firmada por un solo progenitor?</w:t>
      </w:r>
    </w:p>
    <w:p>
      <w:r>
        <w:rPr>
          <w:b w:val="0"/>
          <w:i w:val="0"/>
        </w:rPr>
        <w:t>Es, previsiblemente, la situación mayoritaria en la documentación real de los clubes. Procede aclarar si opera la presunción del art. 156 CC —actuación de uno con el consentimiento tácito del otro— y si resulta oponible frente a una reclamación posterior.</w:t>
      </w:r>
    </w:p>
    <w:p>
      <w:pPr>
        <w:pStyle w:val="Heading2"/>
      </w:pPr>
      <w:r>
        <w:t>6.5  ¿Qué plazo de conservación debe fijarse para el vídeo?</w:t>
      </w:r>
    </w:p>
    <w:p>
      <w:r>
        <w:rPr>
          <w:b w:val="0"/>
          <w:i w:val="0"/>
        </w:rPr>
        <w:t>Está previsto conservar los cortes editados y suprimir los partidos completos de temporadas cerradas. Se solicita criterio sobre el plazo máximo defendible, en particular respecto de imágenes de menores, y sobre si debe distinguirse entre ambos supuestos.</w:t>
      </w:r>
    </w:p>
    <w:p>
      <w:pPr>
        <w:pStyle w:val="Heading2"/>
      </w:pPr>
      <w:r>
        <w:t>6.6  ¿Procede evaluación de impacto por el alojamiento de vídeo?</w:t>
      </w:r>
    </w:p>
    <w:p>
      <w:r>
        <w:rPr>
          <w:b w:val="0"/>
          <w:i w:val="0"/>
        </w:rPr>
        <w:t>El Anexo IV del documento anterior abordó la cuestión respecto de los datos de salud. Se solicita que se valore si la incorporación de imagen de menores, tratada de forma sistemática y a escala de plantilla, modifica aquella conclusión.</w:t>
      </w:r>
    </w:p>
    <w:p>
      <w:r>
        <w:br w:type="page"/>
      </w:r>
    </w:p>
    <w:p>
      <w:pPr>
        <w:pStyle w:val="Heading1"/>
      </w:pPr>
      <w:r>
        <w:t>Anexo. Datos que se registran</w:t>
      </w:r>
    </w:p>
    <w:p>
      <w:r>
        <w:rPr>
          <w:b w:val="0"/>
          <w:i w:val="0"/>
        </w:rPr>
        <w:t>Se detalla el contenido exacto del registro, a efectos de que pueda valorarse su suficiencia probatoria y su proporcionalidad.</w:t>
      </w:r>
    </w:p>
    <w:tbl>
      <w:tblPr>
        <w:tblStyle w:val="LightGrid-Accent1"/>
        <w:tblW w:type="auto" w:w="0"/>
        <w:tblLook w:firstColumn="1" w:firstRow="1" w:lastColumn="0" w:lastRow="0" w:noHBand="0" w:noVBand="1" w:val="04A0"/>
      </w:tblPr>
      <w:tblGrid>
        <w:gridCol w:w="3097"/>
        <w:gridCol w:w="3097"/>
        <w:gridCol w:w="3097"/>
      </w:tblGrid>
      <w:tr>
        <w:tc>
          <w:tcPr>
            <w:tcW w:type="dxa" w:w="3097"/>
          </w:tcPr>
          <w:p>
            <w:r/>
            <w:r>
              <w:rPr>
                <w:b/>
              </w:rPr>
              <w:t>Dato</w:t>
            </w:r>
          </w:p>
        </w:tc>
        <w:tc>
          <w:tcPr>
            <w:tcW w:type="dxa" w:w="3097"/>
          </w:tcPr>
          <w:p>
            <w:r/>
            <w:r>
              <w:rPr>
                <w:b/>
              </w:rPr>
              <w:t>Contenido</w:t>
            </w:r>
          </w:p>
        </w:tc>
        <w:tc>
          <w:tcPr>
            <w:tcW w:type="dxa" w:w="3097"/>
          </w:tcPr>
          <w:p>
            <w:r/>
            <w:r>
              <w:rPr>
                <w:b/>
              </w:rPr>
              <w:t>Observación</w:t>
            </w:r>
          </w:p>
        </w:tc>
      </w:tr>
      <w:tr>
        <w:tc>
          <w:tcPr>
            <w:tcW w:type="dxa" w:w="3097"/>
          </w:tcPr>
          <w:p>
            <w:r/>
            <w:r>
              <w:t>Jugador</w:t>
            </w:r>
          </w:p>
        </w:tc>
        <w:tc>
          <w:tcPr>
            <w:tcW w:type="dxa" w:w="3097"/>
          </w:tcPr>
          <w:p>
            <w:r/>
            <w:r>
              <w:t>Referencia a la ficha</w:t>
            </w:r>
          </w:p>
        </w:tc>
        <w:tc>
          <w:tcPr>
            <w:tcW w:type="dxa" w:w="3097"/>
          </w:tcPr>
          <w:p>
            <w:r/>
            <w:r>
              <w:t>No se duplican datos identificativos</w:t>
            </w:r>
          </w:p>
        </w:tc>
      </w:tr>
      <w:tr>
        <w:tc>
          <w:tcPr>
            <w:tcW w:type="dxa" w:w="3097"/>
          </w:tcPr>
          <w:p>
            <w:r/>
            <w:r>
              <w:t>Alcance</w:t>
            </w:r>
          </w:p>
        </w:tc>
        <w:tc>
          <w:tcPr>
            <w:tcW w:type="dxa" w:w="3097"/>
          </w:tcPr>
          <w:p>
            <w:r/>
            <w:r>
              <w:t>Análisis interno / difusión pública</w:t>
            </w:r>
          </w:p>
        </w:tc>
        <w:tc>
          <w:tcPr>
            <w:tcW w:type="dxa" w:w="3097"/>
          </w:tcPr>
          <w:p>
            <w:r/>
            <w:r>
              <w:t>Registro independiente para cada uno</w:t>
            </w:r>
          </w:p>
        </w:tc>
      </w:tr>
      <w:tr>
        <w:tc>
          <w:tcPr>
            <w:tcW w:type="dxa" w:w="3097"/>
          </w:tcPr>
          <w:p>
            <w:r/>
            <w:r>
              <w:t>Modalidad</w:t>
            </w:r>
          </w:p>
        </w:tc>
        <w:tc>
          <w:tcPr>
            <w:tcW w:type="dxa" w:w="3097"/>
          </w:tcPr>
          <w:p>
            <w:r/>
            <w:r>
              <w:t>Otorgantes nominados / declaración documental</w:t>
            </w:r>
          </w:p>
        </w:tc>
        <w:tc>
          <w:tcPr>
            <w:tcW w:type="dxa" w:w="3097"/>
          </w:tcPr>
          <w:p>
            <w:r/>
            <w:r>
              <w:t>Véase 4.2</w:t>
            </w:r>
          </w:p>
        </w:tc>
      </w:tr>
      <w:tr>
        <w:tc>
          <w:tcPr>
            <w:tcW w:type="dxa" w:w="3097"/>
          </w:tcPr>
          <w:p>
            <w:r/>
            <w:r>
              <w:t>Otorgantes</w:t>
            </w:r>
          </w:p>
        </w:tc>
        <w:tc>
          <w:tcPr>
            <w:tcW w:type="dxa" w:w="3097"/>
          </w:tcPr>
          <w:p>
            <w:r/>
            <w:r>
              <w:t>Nombre y fecha de cada uno</w:t>
            </w:r>
          </w:p>
        </w:tc>
        <w:tc>
          <w:tcPr>
            <w:tcW w:type="dxa" w:w="3097"/>
          </w:tcPr>
          <w:p>
            <w:r/>
            <w:r>
              <w:t>Sólo en la modalidad nominada</w:t>
            </w:r>
          </w:p>
        </w:tc>
      </w:tr>
      <w:tr>
        <w:tc>
          <w:tcPr>
            <w:tcW w:type="dxa" w:w="3097"/>
          </w:tcPr>
          <w:p>
            <w:r/>
            <w:r>
              <w:t>Origen</w:t>
            </w:r>
          </w:p>
        </w:tc>
        <w:tc>
          <w:tcPr>
            <w:tcW w:type="dxa" w:w="3097"/>
          </w:tcPr>
          <w:p>
            <w:r/>
            <w:r>
              <w:t>Documento invocado y su fecha</w:t>
            </w:r>
          </w:p>
        </w:tc>
        <w:tc>
          <w:tcPr>
            <w:tcW w:type="dxa" w:w="3097"/>
          </w:tcPr>
          <w:p>
            <w:r/>
            <w:r>
              <w:t>Sólo en la modalidad documental</w:t>
            </w:r>
          </w:p>
        </w:tc>
      </w:tr>
      <w:tr>
        <w:tc>
          <w:tcPr>
            <w:tcW w:type="dxa" w:w="3097"/>
          </w:tcPr>
          <w:p>
            <w:r/>
            <w:r>
              <w:t>Revocación</w:t>
            </w:r>
          </w:p>
        </w:tc>
        <w:tc>
          <w:tcPr>
            <w:tcW w:type="dxa" w:w="3097"/>
          </w:tcPr>
          <w:p>
            <w:r/>
            <w:r>
              <w:t>Fecha y observaciones</w:t>
            </w:r>
          </w:p>
        </w:tc>
        <w:tc>
          <w:tcPr>
            <w:tcW w:type="dxa" w:w="3097"/>
          </w:tcPr>
          <w:p>
            <w:r/>
            <w:r>
              <w:t>No borra el registro previo</w:t>
            </w:r>
          </w:p>
        </w:tc>
      </w:tr>
      <w:tr>
        <w:tc>
          <w:tcPr>
            <w:tcW w:type="dxa" w:w="3097"/>
          </w:tcPr>
          <w:p>
            <w:r/>
            <w:r>
              <w:t>Autoría</w:t>
            </w:r>
          </w:p>
        </w:tc>
        <w:tc>
          <w:tcPr>
            <w:tcW w:type="dxa" w:w="3097"/>
          </w:tcPr>
          <w:p>
            <w:r/>
            <w:r>
              <w:t>Usuario que lo registró y momento</w:t>
            </w:r>
          </w:p>
        </w:tc>
        <w:tc>
          <w:tcPr>
            <w:tcW w:type="dxa" w:w="3097"/>
          </w:tcPr>
          <w:p>
            <w:r/>
            <w:r>
              <w:t>Trazabilidad interna</w:t>
            </w:r>
          </w:p>
        </w:tc>
      </w:tr>
    </w:tbl>
    <w:p/>
    <w:p>
      <w:r>
        <w:rPr>
          <w:b/>
        </w:rPr>
        <w:t xml:space="preserve">Aislamiento. </w:t>
      </w:r>
      <w:r>
        <w:rPr>
          <w:b w:val="0"/>
        </w:rPr>
        <w:t>El registro queda adscrito al club del jugador de forma automática, sin intervención del cliente, y es inaccesible desde cualquier otro club. Es la misma medida descrita en el Anexo II del documento anterior, aplicada a esta estructura.</w:t>
      </w:r>
    </w:p>
    <w:p/>
    <w:p>
      <w:pPr>
        <w:jc w:val="center"/>
      </w:pPr>
      <w:r>
        <w:rPr>
          <w:b w:val="0"/>
          <w:i/>
        </w:rPr>
        <w:t>— Fin del documento —</w:t>
      </w:r>
    </w:p>
    <w:sectPr w:rsidR="00FC693F" w:rsidRPr="0006063C" w:rsidSect="00034616">
      <w:footerReference w:type="default" r:id="rId9"/>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62"/>
        <w:sz w:val="16"/>
      </w:rPr>
      <w:t>Borrador v3 · 16 de septiembre de 2026 · ClavaMetrics · Documento de trabajo, no firmar sin revisión letrada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41C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4F26"/>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4F26"/>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141C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Abogada">
    <w:name w:val="NotaAbogada"/>
    <w:basedOn w:val="Normal"/>
    <w:pPr>
      <w:spacing w:before="80" w:after="200"/>
      <w:ind w:left="454"/>
    </w:pPr>
    <w:rPr>
      <w:i/>
      <w:color w:val="5C6B6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