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4F26"/>
          <w:sz w:val="22"/>
        </w:rPr>
        <w:t>ClavaMetrics</w:t>
      </w:r>
    </w:p>
    <w:p>
      <w:pPr>
        <w:spacing w:after="120"/>
      </w:pPr>
      <w:r>
        <w:rPr>
          <w:b/>
          <w:color w:val="141C17"/>
          <w:sz w:val="48"/>
        </w:rPr>
        <w:t>Encargo del tratamiento y conflicto de interés</w:t>
      </w:r>
    </w:p>
    <w:p>
      <w:r>
        <w:rPr>
          <w:b w:val="0"/>
          <w:color w:val="5C6B62"/>
          <w:sz w:val="22"/>
        </w:rPr>
        <w:t>Borrador para revisión letrada. Redactado sobre el estado técnico real de la plataforma a 18 de septiembre de 2026, no sobre supuestos.</w:t>
      </w:r>
    </w:p>
    <w:p>
      <w:pPr>
        <w:spacing w:before="280"/>
      </w:pPr>
      <w:r>
        <w:rPr>
          <w:b/>
          <w:color w:val="A03018"/>
          <w:sz w:val="20"/>
        </w:rPr>
        <w:t xml:space="preserve">AVISO. </w:t>
      </w:r>
      <w:r>
        <w:rPr>
          <w:color w:val="A03018"/>
          <w:sz w:val="20"/>
        </w:rPr>
        <w:t>Este documento no es asesoramiento jurídico ni ha sido redactado por un profesional del Derecho. Lo elaboró un asistente de IA a partir del inventario técnico real del producto, con el único fin de servir de punto de partida. Las referencias normativas deben verificarse con fecha.</w:t>
      </w:r>
    </w:p>
    <w:p/>
    <w:p>
      <w:pPr>
        <w:pStyle w:val="Heading1"/>
      </w:pPr>
      <w:r>
        <w:t>0. Cómo usar este documento</w:t>
      </w:r>
    </w:p>
    <w:p>
      <w:r>
        <w:rPr>
          <w:b w:val="0"/>
        </w:rPr>
        <w:t xml:space="preserve">El texto en cuerpo normal es articulado contractual: se firma. Los párrafos en gris y cursiva encabezados por NOTA son comentarios del redactor técnico: </w:t>
      </w:r>
      <w:r>
        <w:rPr>
          <w:b/>
        </w:rPr>
        <w:t>no forman parte del contrato y deben suprimirse antes de la firma</w:t>
      </w:r>
      <w:r>
        <w:rPr>
          <w:b w:val="0"/>
        </w:rPr>
        <w:t>.</w:t>
      </w:r>
    </w:p>
    <w:p>
      <w:r>
        <w:rPr>
          <w:b w:val="0"/>
        </w:rPr>
        <w:t xml:space="preserve">Los </w:t>
      </w:r>
      <w:r>
        <w:rPr>
          <w:b/>
        </w:rPr>
        <w:t>huecos resaltados en amarillo</w:t>
      </w:r>
      <w:r>
        <w:rPr>
          <w:b w:val="0"/>
        </w:rPr>
        <w:t xml:space="preserve"> son extremos que sólo pueden completar el cliente o su abogada. Están inventariados en el apartado final.</w:t>
      </w:r>
    </w:p>
    <w:p>
      <w:pPr>
        <w:pStyle w:val="Heading2"/>
      </w:pPr>
      <w:r>
        <w:t>Por qué no puede esperar</w:t>
      </w:r>
    </w:p>
    <w:p>
      <w:r>
        <w:rPr>
          <w:b/>
        </w:rPr>
        <w:t>Corrección respecto de la versión anterior.</w:t>
      </w:r>
      <w:r>
        <w:rPr>
          <w:b w:val="0"/>
        </w:rPr>
        <w:t xml:space="preserve"> Confirmado por el cliente el 18 de septiembre de 2026: el club Clava FC es un entorno de pruebas y sus 45 fichas no corresponden a personas reales. El otro club español dado de alta, Lorca Deportiva, no contiene dato alguno. El único club con datos reales radica en Camboya.</w:t>
      </w:r>
    </w:p>
    <w:p>
      <w:r>
        <w:rPr>
          <w:b w:val="0"/>
        </w:rPr>
        <w:t xml:space="preserve">En consecuencia, </w:t>
      </w:r>
      <w:r>
        <w:rPr>
          <w:b/>
        </w:rPr>
        <w:t>el argumento de que el RGPD resulta aplicable por existir hoy un club europeo con datos no se sostiene</w:t>
      </w:r>
      <w:r>
        <w:rPr>
          <w:b w:val="0"/>
        </w:rPr>
        <w:t>. La aplicabilidad habrá de fundarse, en su caso, en la oferta del servicio dirigida al mercado europeo —sitio web en español y portugués, precios publicados y un club español dado de alta—, lo que remite al artículo 3.2. Es calificación que corresponde a la letrada.</w:t>
      </w:r>
    </w:p>
    <w:p>
      <w:pPr>
        <w:pStyle w:val="NotaAbogada"/>
      </w:pPr>
      <w:r>
        <w:rPr>
          <w:b w:val="0"/>
        </w:rPr>
        <w:t>NOTA — Que no resulte aplicable hoy no permite aplazarlo. Lo será en cuanto el primer club europeo incorpore un jugador, y ya hay uno dado de alta. Además, en la jurisdicción donde sí hay datos reales no existe norma equivalente, de modo que allí el contrato es la única protección del cliente: ello hace el presente documento más necesario, no menos.</w:t>
      </w:r>
    </w:p>
    <w:p>
      <w:r>
        <w:rPr>
          <w:b w:val="0"/>
        </w:rPr>
        <w:t xml:space="preserve">Lo que sí constituye hecho actual: se tratan datos de salud de deportistas, categoría especial del artículo 9, y entre ellos figuran </w:t>
      </w:r>
      <w:r>
        <w:rPr>
          <w:b/>
        </w:rPr>
        <w:t>25 personas menores de edad</w:t>
      </w:r>
      <w:r>
        <w:rPr>
          <w:b w:val="0"/>
        </w:rPr>
        <w:t xml:space="preserve"> identificadas, más 5 fichas de edad desconocida.</w:t>
      </w:r>
    </w:p>
    <w:p>
      <w:r>
        <w:rPr>
          <w:b w:val="0"/>
        </w:rPr>
        <w:t>El artículo 28.3 RGPD exige contrato escrito entre responsable y encargado. No existe. Mientras no exista, el incumplimiento alcanza a ambas partes.</w:t>
      </w:r>
    </w:p>
    <w:p>
      <w:pPr>
        <w:pStyle w:val="Heading1"/>
      </w:pPr>
      <w:r>
        <w:t>1. Hallazgos que condicionan el articulado</w:t>
      </w:r>
    </w:p>
    <w:p>
      <w:r>
        <w:rPr>
          <w:b w:val="0"/>
        </w:rPr>
        <w:t>Proceden del inventario técnico del producto. Cada uno determina cláusulas concretas.</w:t>
      </w:r>
    </w:p>
    <w:p>
      <w:pPr>
        <w:pStyle w:val="Heading3"/>
      </w:pPr>
      <w:r>
        <w:t>1.1  Menores con datos de salud, sin circuito de consentimiento parental</w:t>
      </w:r>
    </w:p>
    <w:p>
      <w:r>
        <w:rPr>
          <w:b w:val="0"/>
        </w:rPr>
        <w:t xml:space="preserve">A 18 de septiembre, sobre fichas activas: 22 menores de 18 años en un club y 3 en su equipo sub-18. Restan </w:t>
      </w:r>
      <w:r>
        <w:rPr>
          <w:b/>
        </w:rPr>
        <w:t>5 fichas sin fecha de nacimiento</w:t>
      </w:r>
      <w:r>
        <w:rPr>
          <w:b w:val="0"/>
        </w:rPr>
        <w:t>, por lo que 25 es un mínimo y no una certeza.</w:t>
      </w:r>
    </w:p>
    <w:p>
      <w:r>
        <w:rPr>
          <w:b w:val="0"/>
        </w:rPr>
        <w:t>Desde el 16 de septiembre de 2026 la fecha de nacimiento es obligatoria al crear y al modificar una ficha, y el sistema reclama de forma permanente las fichas heredadas incompletas. Quedan esas 23 por completar.</w:t>
      </w:r>
    </w:p>
    <w:p>
      <w:pPr>
        <w:pStyle w:val="Heading3"/>
      </w:pPr>
      <w:r>
        <w:t>1.2  Alojamiento de vídeo fuera de la plataforma</w:t>
      </w:r>
    </w:p>
    <w:p>
      <w:r>
        <w:rPr>
          <w:b w:val="0"/>
        </w:rPr>
        <w:t>Los cortes de vídeo se referencian desde Dropbox, Google Drive, YouTube y Vimeo: imágenes de jugadores identificables, incluidos menores, en servicios no cubiertos por contrato.</w:t>
      </w:r>
    </w:p>
    <w:p>
      <w:r>
        <w:rPr>
          <w:b w:val="0"/>
        </w:rPr>
        <w:t>No se resuelve con una cláusula: o esos proveedores se incorporan al Anexo III con su régimen, o el contrato excluye expresamente el alojamiento de vídeo del encargo.</w:t>
      </w:r>
    </w:p>
    <w:p>
      <w:pPr>
        <w:pStyle w:val="Heading3"/>
      </w:pPr>
      <w:r>
        <w:t>1.3  Ocho subencargados reales, ninguno declarado</w:t>
      </w:r>
    </w:p>
    <w:p>
      <w:r>
        <w:rPr>
          <w:b w:val="0"/>
        </w:rPr>
        <w:t>El artículo 28.2 exige autorización del responsable y derecho de oposición a los cambios. Sin lista publicada, ese derecho no puede ejercerse. Se relacionan en el Anexo III.</w:t>
      </w:r>
    </w:p>
    <w:p>
      <w:pPr>
        <w:pStyle w:val="Heading3"/>
      </w:pPr>
      <w:r>
        <w:t>1.4  Jurisdicción sin normativa equivalente</w:t>
      </w:r>
    </w:p>
    <w:p>
      <w:r>
        <w:rPr>
          <w:b w:val="0"/>
        </w:rPr>
        <w:t>Los dos clubes con mayor volumen de datos radican en Camboya. Según la última información disponible —extremo a verificar con fecha, pues se encontraba en tramitación— dicho país no cuenta con una ley general de protección de datos comparable al RGPD.</w:t>
      </w:r>
    </w:p>
    <w:p>
      <w:r>
        <w:rPr>
          <w:b w:val="0"/>
        </w:rPr>
        <w:t xml:space="preserve">En consecuencia, allí </w:t>
      </w:r>
      <w:r>
        <w:rPr>
          <w:b/>
        </w:rPr>
        <w:t>el contrato es la única protección</w:t>
      </w:r>
      <w:r>
        <w:rPr>
          <w:b w:val="0"/>
        </w:rPr>
        <w:t xml:space="preserve"> del cliente. Se recomienda aplicar el estándar RGPD a toda la cartera con independencia de la jurisdicción.</w:t>
      </w:r>
    </w:p>
    <w:p>
      <w:r>
        <w:br w:type="page"/>
      </w:r>
    </w:p>
    <w:p>
      <w:pPr>
        <w:pStyle w:val="Heading1"/>
      </w:pPr>
      <w:r>
        <w:t>2. Contrato de encargo del tratamiento</w:t>
      </w:r>
    </w:p>
    <w:p>
      <w:r>
        <w:rPr>
          <w:b w:val="0"/>
        </w:rPr>
        <w:t xml:space="preserve">Cumple el contenido mínimo del artículo 28.3 RGPD. El club es el </w:t>
      </w:r>
      <w:r>
        <w:rPr>
          <w:b/>
        </w:rPr>
        <w:t>Responsable</w:t>
      </w:r>
      <w:r>
        <w:rPr>
          <w:b w:val="0"/>
        </w:rPr>
        <w:t xml:space="preserve">; ClavaMetrics, el </w:t>
      </w:r>
      <w:r>
        <w:rPr>
          <w:b/>
        </w:rPr>
        <w:t>Encargado</w:t>
      </w:r>
      <w:r>
        <w:rPr>
          <w:b w:val="0"/>
        </w:rPr>
        <w:t>.</w:t>
      </w:r>
    </w:p>
    <w:p>
      <w:pPr>
        <w:pStyle w:val="NotaAbogada"/>
      </w:pPr>
      <w:r>
        <w:rPr>
          <w:b w:val="0"/>
        </w:rPr>
        <w:t>NOTA — Debe articularse como documento autónomo y firmable, no como apartado de la política de privacidad. Un cliente con asesoría jurídica exigirá documento con firma.</w:t>
      </w:r>
    </w:p>
    <w:p>
      <w:pPr>
        <w:pStyle w:val="Heading2"/>
      </w:pPr>
      <w:r>
        <w:t>Expositivo</w:t>
      </w:r>
    </w:p>
    <w:p>
      <w:r>
        <w:rPr>
          <w:b w:val="0"/>
        </w:rPr>
        <w:t xml:space="preserve">De una parte, </w:t>
      </w:r>
      <w:r>
        <w:rPr>
          <w:b/>
          <w:highlight w:val="yellow"/>
        </w:rPr>
        <w:t>RAZÓN SOCIAL DEL CLUB</w:t>
      </w:r>
      <w:r>
        <w:rPr>
          <w:b w:val="0"/>
        </w:rPr>
        <w:t xml:space="preserve">, con domicilio en </w:t>
      </w:r>
      <w:r>
        <w:rPr>
          <w:b/>
          <w:highlight w:val="yellow"/>
        </w:rPr>
        <w:t>DOMICILIO</w:t>
      </w:r>
      <w:r>
        <w:rPr>
          <w:b w:val="0"/>
        </w:rPr>
        <w:t xml:space="preserve"> y número de identificación fiscal </w:t>
      </w:r>
      <w:r>
        <w:rPr>
          <w:b/>
          <w:highlight w:val="yellow"/>
        </w:rPr>
        <w:t>NIF</w:t>
      </w:r>
      <w:r>
        <w:rPr>
          <w:b w:val="0"/>
        </w:rPr>
        <w:t xml:space="preserve">, en adelante el </w:t>
      </w:r>
      <w:r>
        <w:rPr>
          <w:b/>
        </w:rPr>
        <w:t>Responsable</w:t>
      </w:r>
      <w:r>
        <w:rPr>
          <w:b w:val="0"/>
        </w:rPr>
        <w:t>.</w:t>
      </w:r>
    </w:p>
    <w:p>
      <w:r>
        <w:rPr>
          <w:b w:val="0"/>
        </w:rPr>
        <w:t xml:space="preserve">De otra, </w:t>
      </w:r>
      <w:r>
        <w:rPr>
          <w:b/>
          <w:highlight w:val="yellow"/>
        </w:rPr>
        <w:t>RAZÓN SOCIAL DE CLAVAMETRICS</w:t>
      </w:r>
      <w:r>
        <w:rPr>
          <w:b w:val="0"/>
        </w:rPr>
        <w:t xml:space="preserve">, con domicilio en </w:t>
      </w:r>
      <w:r>
        <w:rPr>
          <w:b/>
          <w:highlight w:val="yellow"/>
        </w:rPr>
        <w:t>DOMICILIO</w:t>
      </w:r>
      <w:r>
        <w:rPr>
          <w:b w:val="0"/>
        </w:rPr>
        <w:t xml:space="preserve"> y número de identificación fiscal </w:t>
      </w:r>
      <w:r>
        <w:rPr>
          <w:b/>
          <w:highlight w:val="yellow"/>
        </w:rPr>
        <w:t>NIF</w:t>
      </w:r>
      <w:r>
        <w:rPr>
          <w:b w:val="0"/>
        </w:rPr>
        <w:t xml:space="preserve">, en adelante el </w:t>
      </w:r>
      <w:r>
        <w:rPr>
          <w:b/>
        </w:rPr>
        <w:t>Encargado</w:t>
      </w:r>
      <w:r>
        <w:rPr>
          <w:b w:val="0"/>
        </w:rPr>
        <w:t>.</w:t>
      </w:r>
    </w:p>
    <w:p>
      <w:r>
        <w:rPr>
          <w:b w:val="0"/>
        </w:rPr>
        <w:t>Ambas partes se reconocen capacidad suficiente y suscriben el presente contrato al amparo del artículo 28 del Reglamento (UE) 2016/679.</w:t>
      </w:r>
    </w:p>
    <w:p>
      <w:pPr>
        <w:pStyle w:val="Heading2"/>
      </w:pPr>
      <w:r>
        <w:t>Cláusulas</w:t>
      </w:r>
    </w:p>
    <w:p>
      <w:pPr>
        <w:spacing w:before="240" w:after="80"/>
      </w:pPr>
      <w:r>
        <w:rPr>
          <w:b/>
          <w:sz w:val="23"/>
        </w:rPr>
        <w:t>1. Objeto y alcance</w:t>
      </w:r>
    </w:p>
    <w:p>
      <w:r>
        <w:rPr>
          <w:b w:val="0"/>
        </w:rPr>
        <w:t>El Encargado tratará por cuenta del Responsable los datos personales descritos en el Anexo I, con la única finalidad de prestar el servicio de la plataforma ClavaMetrics. La duración del encargo coincide con la de la relación contractual principal.</w:t>
      </w:r>
    </w:p>
    <w:p>
      <w:pPr>
        <w:spacing w:before="240" w:after="80"/>
      </w:pPr>
      <w:r>
        <w:rPr>
          <w:b/>
          <w:sz w:val="23"/>
        </w:rPr>
        <w:t>2. Instrucciones documentadas</w:t>
      </w:r>
    </w:p>
    <w:p>
      <w:r>
        <w:rPr>
          <w:b w:val="0"/>
        </w:rPr>
        <w:t xml:space="preserve">El Encargado tratará los datos </w:t>
      </w:r>
      <w:r>
        <w:rPr>
          <w:b/>
        </w:rPr>
        <w:t>únicamente siguiendo instrucciones documentadas del Responsable</w:t>
      </w:r>
      <w:r>
        <w:rPr>
          <w:b w:val="0"/>
        </w:rPr>
        <w:t>, incluidas las relativas a transferencias internacionales. Tienen tal consideración el presente contrato, la configuración que el Responsable establezca en la plataforma y las solicitudes de soporte que curse.</w:t>
      </w:r>
    </w:p>
    <w:p>
      <w:r>
        <w:rPr>
          <w:b w:val="0"/>
        </w:rPr>
        <w:t>Si el Encargado entendiera que una instrucción infringe la normativa de protección de datos, lo comunicará de inmediato al Responsable y podrá suspender su ejecución.</w:t>
      </w:r>
    </w:p>
    <w:p>
      <w:pPr>
        <w:spacing w:before="240" w:after="80"/>
      </w:pPr>
      <w:r>
        <w:rPr>
          <w:b/>
          <w:sz w:val="23"/>
        </w:rPr>
        <w:t>3. Prohibición de uso propio</w:t>
      </w:r>
    </w:p>
    <w:p>
      <w:r>
        <w:rPr>
          <w:b w:val="0"/>
        </w:rPr>
        <w:t xml:space="preserve">El Encargado </w:t>
      </w:r>
      <w:r>
        <w:rPr>
          <w:b/>
        </w:rPr>
        <w:t>no utilizará los datos para finalidad propia alguna</w:t>
      </w:r>
      <w:r>
        <w:rPr>
          <w:b w:val="0"/>
        </w:rPr>
        <w:t>. En particular, y sin que la enumeración sea limitativa, no los empleará para asesorar deportivamente a terceros, para elaborar comparativas o promedios entre clubes, ni para entrenar modelos de inteligencia artificial.</w:t>
      </w:r>
    </w:p>
    <w:p>
      <w:r>
        <w:rPr>
          <w:b w:val="0"/>
        </w:rPr>
        <w:t>Todo tratamiento con fines estadísticos agregados requerirá anonimización irreversible previa y facultad de oposición del Responsable, ejercitable en cualquier momento y sin coste.</w:t>
      </w:r>
    </w:p>
    <w:p>
      <w:pPr>
        <w:pStyle w:val="NotaAbogada"/>
      </w:pPr>
      <w:r>
        <w:rPr>
          <w:b w:val="0"/>
        </w:rPr>
        <w:t>NOTA — Esta cláusula y la 12 son las dos que de verdad valora un club competidor. El resto del articulado es estándar.</w:t>
      </w:r>
    </w:p>
    <w:p>
      <w:pPr>
        <w:spacing w:before="240" w:after="80"/>
      </w:pPr>
      <w:r>
        <w:rPr>
          <w:b/>
          <w:sz w:val="23"/>
        </w:rPr>
        <w:t>4. Confidencialidad del personal</w:t>
      </w:r>
    </w:p>
    <w:p>
      <w:r>
        <w:rPr>
          <w:b w:val="0"/>
        </w:rPr>
        <w:t>El Encargado garantiza que toda persona autorizada para tratar los datos se ha comprometido expresamente a respetar la confidencialidad, con carácter indefinido y subsistente tras la extinción de su relación.</w:t>
      </w:r>
    </w:p>
    <w:p>
      <w:pPr>
        <w:spacing w:before="240" w:after="80"/>
      </w:pPr>
      <w:r>
        <w:rPr>
          <w:b/>
          <w:sz w:val="23"/>
        </w:rPr>
        <w:t>5. Seguridad y control de acceso</w:t>
      </w:r>
    </w:p>
    <w:p>
      <w:r>
        <w:rPr>
          <w:b w:val="0"/>
        </w:rPr>
        <w:t>El Encargado aplicará las medidas técnicas y organizativas descritas en el Anexo II, que forma parte inseparable de este contrato.</w:t>
      </w:r>
    </w:p>
    <w:p>
      <w:r>
        <w:rPr>
          <w:b w:val="0"/>
        </w:rPr>
        <w:t xml:space="preserve">De forma singular, el Encargado declara que </w:t>
      </w:r>
      <w:r>
        <w:rPr>
          <w:b/>
        </w:rPr>
        <w:t>su personal no dispone de acceso permanente a los datos del Responsable</w:t>
      </w:r>
      <w:r>
        <w:rPr>
          <w:b w:val="0"/>
        </w:rPr>
        <w:t>. Todo acceso requiere autorización previa, expresa y temporal del Responsable, otorgada desde la propia plataforma, revocable unilateralmente en cualquier momento y con caducidad automática. Todo acceso así autorizado queda registrado de forma inalterable y es consultable por el Responsable.</w:t>
      </w:r>
    </w:p>
    <w:p>
      <w:pPr>
        <w:pStyle w:val="NotaAbogada"/>
      </w:pPr>
      <w:r>
        <w:rPr>
          <w:b w:val="0"/>
        </w:rPr>
        <w:t>NOTA — Esta cláusula puede firmarse porque es literalmente cierta y está implementada y probada. No conviene atenuarla con fórmulas del tipo «en la medida de lo posible»: su valor reside en ser categórica y verificable por el propio cliente desde su pantalla.</w:t>
      </w:r>
    </w:p>
    <w:p>
      <w:pPr>
        <w:spacing w:before="240" w:after="80"/>
      </w:pPr>
      <w:r>
        <w:rPr>
          <w:b/>
          <w:sz w:val="23"/>
        </w:rPr>
        <w:t>6. Subencargados</w:t>
      </w:r>
    </w:p>
    <w:p>
      <w:r>
        <w:rPr>
          <w:b w:val="0"/>
        </w:rPr>
        <w:t xml:space="preserve">El Responsable autoriza a los subencargados relacionados en el Anexo III. El Encargado comunicará con al menos </w:t>
      </w:r>
      <w:r>
        <w:rPr>
          <w:b/>
          <w:highlight w:val="yellow"/>
        </w:rPr>
        <w:t>30</w:t>
      </w:r>
      <w:r>
        <w:rPr>
          <w:b w:val="0"/>
        </w:rPr>
        <w:t xml:space="preserve"> días de antelación cualquier alta o sustitución, y el Responsable podrá oponerse motivadamente; de mantenerse la discrepancia, podrá resolver el contrato sin penalización y con reembolso de la parte no consumida.</w:t>
      </w:r>
    </w:p>
    <w:p>
      <w:r>
        <w:rPr>
          <w:b w:val="0"/>
        </w:rPr>
        <w:t>El Encargado impondrá a todo subencargado, por contrato, obligaciones equivalentes a las aquí asumidas, y responderá frente al Responsable de su incumplimiento.</w:t>
      </w:r>
    </w:p>
    <w:p>
      <w:pPr>
        <w:spacing w:before="240" w:after="80"/>
      </w:pPr>
      <w:r>
        <w:rPr>
          <w:b/>
          <w:sz w:val="23"/>
        </w:rPr>
        <w:t>7. Asistencia al Responsable</w:t>
      </w:r>
    </w:p>
    <w:p>
      <w:r>
        <w:rPr>
          <w:b w:val="0"/>
        </w:rPr>
        <w:t>El Encargado asistirá al Responsable, atendida la naturaleza del tratamiento:</w:t>
      </w:r>
    </w:p>
    <w:p>
      <w:pPr>
        <w:pStyle w:val="ListNumber"/>
      </w:pPr>
      <w:r>
        <w:rPr>
          <w:b w:val="0"/>
        </w:rPr>
        <w:t>En la atención de los derechos de acceso, rectificación, supresión, limitación, portabilidad y oposición, en plazo que permita responder dentro del mes legal.</w:t>
      </w:r>
    </w:p>
    <w:p>
      <w:pPr>
        <w:pStyle w:val="ListNumber"/>
      </w:pPr>
      <w:r>
        <w:rPr>
          <w:b w:val="0"/>
        </w:rPr>
        <w:t>En el cumplimiento de los artículos 32 a 36, incluidas la seguridad, la notificación de violaciones y, en su caso, la evaluación de impacto.</w:t>
      </w:r>
    </w:p>
    <w:p>
      <w:r>
        <w:rPr>
          <w:b w:val="0"/>
        </w:rPr>
        <w:t>Si un interesado dirigiera su solicitud al Encargado, éste la remitirá al Responsable sin dilación y se abstendrá de responder sobre el fondo.</w:t>
      </w:r>
    </w:p>
    <w:p>
      <w:pPr>
        <w:spacing w:before="240" w:after="80"/>
      </w:pPr>
      <w:r>
        <w:rPr>
          <w:b/>
          <w:sz w:val="23"/>
        </w:rPr>
        <w:t>8. Violaciones de la seguridad</w:t>
      </w:r>
    </w:p>
    <w:p>
      <w:r>
        <w:rPr>
          <w:b w:val="0"/>
        </w:rPr>
        <w:t xml:space="preserve">El Encargado notificará al Responsable toda violación de la seguridad </w:t>
      </w:r>
      <w:r>
        <w:rPr>
          <w:b/>
        </w:rPr>
        <w:t xml:space="preserve">sin dilación indebida y, en todo caso, dentro de las </w:t>
      </w:r>
      <w:r>
        <w:rPr>
          <w:b/>
          <w:highlight w:val="yellow"/>
        </w:rPr>
        <w:t>24</w:t>
      </w:r>
      <w:r>
        <w:rPr>
          <w:b/>
        </w:rPr>
        <w:t xml:space="preserve"> horas</w:t>
      </w:r>
      <w:r>
        <w:rPr>
          <w:b w:val="0"/>
        </w:rPr>
        <w:t xml:space="preserve"> siguientes a tener constancia de ella, con la información del artículo 33.3 de que disponga, a fin de permitir al Responsable cumplir su plazo de 72 horas frente a la autoridad de control.</w:t>
      </w:r>
    </w:p>
    <w:p>
      <w:pPr>
        <w:spacing w:before="240" w:after="80"/>
      </w:pPr>
      <w:r>
        <w:rPr>
          <w:b/>
          <w:sz w:val="23"/>
        </w:rPr>
        <w:t>9. Devolución y supresión</w:t>
      </w:r>
    </w:p>
    <w:p>
      <w:r>
        <w:rPr>
          <w:b w:val="0"/>
        </w:rPr>
        <w:t xml:space="preserve">Extinguido el contrato, el Encargado, a elección del Responsable, devolverá los datos en formato estructurado y de uso común o los suprimirá, junto con las copias existentes, en el plazo de </w:t>
      </w:r>
      <w:r>
        <w:rPr>
          <w:b/>
          <w:highlight w:val="yellow"/>
        </w:rPr>
        <w:t>30</w:t>
      </w:r>
      <w:r>
        <w:rPr>
          <w:b w:val="0"/>
        </w:rPr>
        <w:t xml:space="preserve"> días, salvo obligación legal de conservación. La supresión se acreditará por escrito.</w:t>
      </w:r>
    </w:p>
    <w:p>
      <w:r>
        <w:rPr>
          <w:b w:val="0"/>
        </w:rPr>
        <w:t>El Responsable podrá exportar sus datos por sí mismo y en cualquier momento durante la vigencia del contrato.</w:t>
      </w:r>
    </w:p>
    <w:p>
      <w:pPr>
        <w:spacing w:before="240" w:after="80"/>
      </w:pPr>
      <w:r>
        <w:rPr>
          <w:b/>
          <w:sz w:val="23"/>
        </w:rPr>
        <w:t>10. Auditoría</w:t>
      </w:r>
    </w:p>
    <w:p>
      <w:r>
        <w:rPr>
          <w:b w:val="0"/>
        </w:rPr>
        <w:t xml:space="preserve">El Encargado pondrá a disposición del Responsable la información necesaria para demostrar el cumplimiento de este contrato y permitirá auditorías, incluidas inspecciones, por el Responsable o auditor mandatado, con preaviso razonable y </w:t>
      </w:r>
      <w:r>
        <w:rPr>
          <w:b/>
          <w:highlight w:val="yellow"/>
        </w:rPr>
        <w:t>una</w:t>
      </w:r>
      <w:r>
        <w:rPr>
          <w:b w:val="0"/>
        </w:rPr>
        <w:t xml:space="preserve"> vez al año, sin perjuicio de las derivadas de un incidente de seguridad.</w:t>
      </w:r>
    </w:p>
    <w:p>
      <w:r>
        <w:rPr>
          <w:b w:val="0"/>
        </w:rPr>
        <w:t>Se considera medio de verificación permanente el registro de accesos descrito en el Anexo II, consultable por el Responsable sin necesidad de preaviso.</w:t>
      </w:r>
    </w:p>
    <w:p>
      <w:pPr>
        <w:spacing w:before="240" w:after="80"/>
      </w:pPr>
      <w:r>
        <w:rPr>
          <w:b/>
          <w:sz w:val="23"/>
        </w:rPr>
        <w:t>11. Transferencias internacionales</w:t>
      </w:r>
    </w:p>
    <w:p>
      <w:r>
        <w:rPr>
          <w:b w:val="0"/>
        </w:rPr>
        <w:t>Los datos se alojan en la Unión Europea. Cuando un subencargado trate datos fuera del Espacio Económico Europeo, el Encargado garantiza la existencia de Cláusulas Contractuales Tipo u otro mecanismo válido del Capítulo V del RGPD, y lo hará constar en el Anexo III.</w:t>
      </w:r>
    </w:p>
    <w:p>
      <w:r>
        <w:br w:type="page"/>
      </w:r>
    </w:p>
    <w:p>
      <w:pPr>
        <w:pStyle w:val="Heading1"/>
      </w:pPr>
      <w:r>
        <w:t>3. Conflicto de interés</w:t>
      </w:r>
    </w:p>
    <w:p>
      <w:r>
        <w:rPr>
          <w:b w:val="0"/>
        </w:rPr>
        <w:t>Cláusula destinada al contrato principal, no al presente anexo de encargo. Responde a la objeción que formulará todo club competidor.</w:t>
      </w:r>
    </w:p>
    <w:p>
      <w:pPr>
        <w:spacing w:before="240" w:after="80"/>
      </w:pPr>
      <w:r>
        <w:rPr>
          <w:b/>
          <w:sz w:val="23"/>
        </w:rPr>
        <w:t>12.1. Manifestación</w:t>
      </w:r>
    </w:p>
    <w:p>
      <w:r>
        <w:rPr>
          <w:b w:val="0"/>
        </w:rPr>
        <w:t xml:space="preserve">El Encargado manifiesta expresamente que </w:t>
      </w:r>
      <w:r>
        <w:rPr>
          <w:b/>
          <w:highlight w:val="yellow"/>
        </w:rPr>
        <w:t>NOMBRE Y APELLIDOS</w:t>
      </w:r>
      <w:r>
        <w:rPr>
          <w:b w:val="0"/>
        </w:rPr>
        <w:t xml:space="preserve">, socio fundador y administrador de la plataforma, </w:t>
      </w:r>
      <w:r>
        <w:rPr>
          <w:b/>
        </w:rPr>
        <w:t>desarrolla actividad profesional como preparador físico en el ámbito del fútbol</w:t>
      </w:r>
      <w:r>
        <w:rPr>
          <w:b w:val="0"/>
        </w:rPr>
        <w:t xml:space="preserve"> y puede, por tanto, prestar servicios a entidades que compitan deportivamente con el Responsable.</w:t>
      </w:r>
    </w:p>
    <w:p>
      <w:r>
        <w:rPr>
          <w:b w:val="0"/>
        </w:rPr>
        <w:t xml:space="preserve">A la fecha de firma, dicha actividad se desarrolla en </w:t>
      </w:r>
      <w:r>
        <w:rPr>
          <w:b/>
          <w:highlight w:val="yellow"/>
        </w:rPr>
        <w:t>Camboya — Premier League</w:t>
      </w:r>
      <w:r>
        <w:rPr>
          <w:b w:val="0"/>
        </w:rPr>
        <w:t xml:space="preserve">, con vinculación laboral a </w:t>
      </w:r>
      <w:r>
        <w:rPr>
          <w:b/>
          <w:highlight w:val="yellow"/>
        </w:rPr>
        <w:t>MOI Kompong DEWA</w:t>
      </w:r>
      <w:r>
        <w:rPr>
          <w:b w:val="0"/>
        </w:rPr>
        <w:t xml:space="preserve">. Igual manifestación formula </w:t>
      </w:r>
      <w:r>
        <w:rPr>
          <w:b/>
          <w:highlight w:val="yellow"/>
        </w:rPr>
        <w:t>NOMBRE Y APELLIDOS DEL SOCIO</w:t>
      </w:r>
      <w:r>
        <w:rPr>
          <w:b w:val="0"/>
        </w:rPr>
        <w:t>, respecto de la misma competición.</w:t>
      </w:r>
    </w:p>
    <w:p>
      <w:pPr>
        <w:pStyle w:val="NotaAbogada"/>
      </w:pPr>
      <w:r>
        <w:rPr>
          <w:b w:val="0"/>
        </w:rPr>
        <w:t>NOTA — Declararlo es lo que protege. Lo que destruye una operación comercial no es el conflicto, sino que aflore después y parezca ocultado. Esta cláusula convierte un riesgo reputacional en un hecho documentado y fechado.</w:t>
      </w:r>
    </w:p>
    <w:p>
      <w:pPr>
        <w:spacing w:before="240" w:after="80"/>
      </w:pPr>
      <w:r>
        <w:rPr>
          <w:b/>
          <w:sz w:val="23"/>
        </w:rPr>
        <w:t>12.2. Inhabilitación</w:t>
      </w:r>
    </w:p>
    <w:p>
      <w:r>
        <w:rPr>
          <w:b w:val="0"/>
        </w:rPr>
        <w:t xml:space="preserve">Las personas identificadas en la cláusula 12.1 </w:t>
      </w:r>
      <w:r>
        <w:rPr>
          <w:b/>
        </w:rPr>
        <w:t>quedan inhabilitadas para acceder a los datos de todo club radicado en la jurisdicción donde ejerzan</w:t>
      </w:r>
      <w:r>
        <w:rPr>
          <w:b w:val="0"/>
        </w:rPr>
        <w:t>. La inhabilitación no decae por la mera concesión de un acceso de soporte conforme a la cláusula 5.</w:t>
      </w:r>
    </w:p>
    <w:p>
      <w:r>
        <w:rPr>
          <w:b w:val="0"/>
        </w:rPr>
        <w:t>Opera de forma automática, alcanza también a los clubes que se incorporen a la plataforma con posterioridad, y se encuentra implementada como restricción técnica en el sistema, no como mero compromiso organizativo.</w:t>
      </w:r>
    </w:p>
    <w:p>
      <w:r>
        <w:rPr>
          <w:b w:val="0"/>
        </w:rPr>
        <w:t>La manifestación es pública, consultable por cualquier cliente desde la plataforma, y no es susceptible de supresión, modificación ni atenuación por parte del declarante.</w:t>
      </w:r>
    </w:p>
    <w:p>
      <w:pPr>
        <w:spacing w:before="240" w:after="80"/>
      </w:pPr>
      <w:r>
        <w:rPr>
          <w:b/>
          <w:sz w:val="23"/>
        </w:rPr>
        <w:t>12.3. Período de carencia</w:t>
      </w:r>
    </w:p>
    <w:p>
      <w:r>
        <w:rPr>
          <w:b w:val="0"/>
        </w:rPr>
        <w:t xml:space="preserve">El cese de la actividad declarada no levanta la inhabilitación de forma inmediata, que se mantendrá durante </w:t>
      </w:r>
      <w:r>
        <w:rPr>
          <w:b/>
          <w:highlight w:val="yellow"/>
        </w:rPr>
        <w:t>12</w:t>
      </w:r>
      <w:r>
        <w:rPr>
          <w:b/>
        </w:rPr>
        <w:t xml:space="preserve"> meses</w:t>
      </w:r>
      <w:r>
        <w:rPr>
          <w:b w:val="0"/>
        </w:rPr>
        <w:t xml:space="preserve"> desde la fecha de cese.</w:t>
      </w:r>
    </w:p>
    <w:p>
      <w:pPr>
        <w:spacing w:before="240" w:after="80"/>
      </w:pPr>
      <w:r>
        <w:rPr>
          <w:b/>
          <w:sz w:val="23"/>
        </w:rPr>
        <w:t>12.4. Prestación del soporte y dispensa</w:t>
      </w:r>
    </w:p>
    <w:p>
      <w:r>
        <w:rPr>
          <w:b w:val="0"/>
        </w:rPr>
        <w:t>Cuando un club afectado por la cláusula 12.2 requiera soporte que exija acceso a sus datos, éste será prestado, siempre que resulte posible, por persona del Encargado no incursa en conflicto respecto de dicho club, cuya identidad constará en el registro de accesos.</w:t>
      </w:r>
    </w:p>
    <w:p>
      <w:r>
        <w:rPr>
          <w:b/>
        </w:rPr>
        <w:t>El Encargado manifiesta que puede no disponer de persona no incursa en conflicto para determinadas jurisdicciones</w:t>
      </w:r>
      <w:r>
        <w:rPr>
          <w:b w:val="0"/>
        </w:rPr>
        <w:t>, y en particular para aquella en que ejercen los declarantes. En tal supuesto, el Responsable podrá optar entre:</w:t>
      </w:r>
    </w:p>
    <w:p>
      <w:pPr>
        <w:pStyle w:val="ListNumber"/>
      </w:pPr>
      <w:r>
        <w:rPr>
          <w:b w:val="0"/>
        </w:rPr>
        <w:t>Renunciar al soporte que exija acceso a sus datos, recibiéndolo por vías que no lo requieran.</w:t>
      </w:r>
    </w:p>
    <w:p>
      <w:pPr>
        <w:pStyle w:val="ListNumber"/>
      </w:pPr>
      <w:r>
        <w:rPr>
          <w:b w:val="0"/>
        </w:rPr>
        <w:t>Dispensar expresamente la inhabilitación, con conocimiento del conflicto declarado.</w:t>
      </w:r>
    </w:p>
    <w:p>
      <w:r>
        <w:rPr>
          <w:b w:val="0"/>
        </w:rPr>
        <w:t>La dispensa prevista en el apartado 2 se otorga desde el panel del Responsable, es distinta e independiente de la autorización ordinaria de acceso de la cláusula 5, exige consignar su motivo, queda limitada a una única autorización y caduca con ella. El Encargado no puede solicitarla, otorgarla ni promoverla, y su otorgamiento se inscribe con asiento propio en el registro de accesos.</w:t>
      </w:r>
    </w:p>
    <w:p>
      <w:pPr>
        <w:pStyle w:val="NotaAbogada"/>
      </w:pPr>
      <w:r>
        <w:rPr>
          <w:b w:val="0"/>
        </w:rPr>
        <w:t>NOTA — Redacción revisada. Las dos personas con acceso de plataforma ejercen hoy en la misma competición, de modo que para un club competidor de esa liga no hay personal no conflictuado. La redacción anterior prometía lo contrario y era incumplible. Ésta reconoce el límite y devuelve la decisión al cliente. Lo que preserva la garantía es que la dispensa sea un acto separado: una autorización ordinaria no la levanta, extremo comprobado sobre el sistema.</w:t>
      </w:r>
    </w:p>
    <w:p>
      <w:pPr>
        <w:spacing w:before="240" w:after="80"/>
      </w:pPr>
      <w:r>
        <w:rPr>
          <w:b/>
          <w:sz w:val="23"/>
        </w:rPr>
        <w:t>12.5. Penalización</w:t>
      </w:r>
    </w:p>
    <w:p>
      <w:r>
        <w:rPr>
          <w:b w:val="0"/>
        </w:rPr>
        <w:t xml:space="preserve">El acceso amparado en una dispensa otorgada conforme a la cláusula 12.4 no constituye incumplimiento. Fuera de ese supuesto, el incumplimiento de las cláusulas 3, 12.2 o 12.3 facultará al Responsable para resolver el contrato con efecto inmediato y dará lugar a una indemnización de </w:t>
      </w:r>
      <w:r>
        <w:rPr>
          <w:b/>
          <w:highlight w:val="yellow"/>
        </w:rPr>
        <w:t>IMPORTE</w:t>
      </w:r>
      <w:r>
        <w:rPr>
          <w:b w:val="0"/>
        </w:rPr>
        <w:t xml:space="preserve"> euros en concepto de cláusula penal, sin perjuicio de los daños adicionales que acredite.</w:t>
      </w:r>
    </w:p>
    <w:p>
      <w:pPr>
        <w:pStyle w:val="NotaAbogada"/>
      </w:pPr>
      <w:r>
        <w:rPr>
          <w:b w:val="0"/>
        </w:rPr>
        <w:t>NOTA — Conviene una cifra cerrada y no una fórmula. Un director deportivo no compra «responderemos de los daños»: compra un importe que su presidente entiende sin consultar.</w:t>
      </w:r>
    </w:p>
    <w:p>
      <w:r>
        <w:br w:type="page"/>
      </w:r>
    </w:p>
    <w:p>
      <w:pPr>
        <w:pStyle w:val="Heading1"/>
      </w:pPr>
      <w:r>
        <w:t>Anexo I. Descripción del tratamiento</w:t>
      </w:r>
    </w:p>
    <w:p>
      <w:r>
        <w:rPr>
          <w:b w:val="0"/>
        </w:rPr>
        <w:t>Sirve asimismo de base para el registro de actividades del artículo 30.</w:t>
      </w:r>
    </w:p>
    <w:tbl>
      <w:tblPr>
        <w:tblStyle w:val="LightGrid-Accent1"/>
        <w:tblW w:type="auto" w:w="0"/>
        <w:jc w:val="center"/>
        <w:tblLook w:firstColumn="1" w:firstRow="1" w:lastColumn="0" w:lastRow="0" w:noHBand="0" w:noVBand="1" w:val="04A0"/>
      </w:tblPr>
      <w:tblGrid>
        <w:gridCol w:w="3097"/>
        <w:gridCol w:w="3097"/>
        <w:gridCol w:w="3097"/>
      </w:tblGrid>
      <w:tr>
        <w:tc>
          <w:tcPr>
            <w:tcW w:type="dxa" w:w="3097"/>
          </w:tcPr>
          <w:p>
            <w:r/>
            <w:r>
              <w:rPr>
                <w:b/>
                <w:sz w:val="19"/>
              </w:rPr>
              <w:t>Categoría de interesados</w:t>
            </w:r>
          </w:p>
        </w:tc>
        <w:tc>
          <w:tcPr>
            <w:tcW w:type="dxa" w:w="3097"/>
          </w:tcPr>
          <w:p>
            <w:r/>
            <w:r>
              <w:rPr>
                <w:b/>
                <w:sz w:val="19"/>
              </w:rPr>
              <w:t>Datos tratados</w:t>
            </w:r>
          </w:p>
        </w:tc>
        <w:tc>
          <w:tcPr>
            <w:tcW w:type="dxa" w:w="3097"/>
          </w:tcPr>
          <w:p>
            <w:r/>
            <w:r>
              <w:rPr>
                <w:b/>
                <w:sz w:val="19"/>
              </w:rPr>
              <w:t>Régimen</w:t>
            </w:r>
          </w:p>
        </w:tc>
      </w:tr>
      <w:tr>
        <w:tc>
          <w:tcPr>
            <w:tcW w:type="dxa" w:w="3097"/>
          </w:tcPr>
          <w:p>
            <w:r/>
            <w:r>
              <w:rPr>
                <w:b w:val="0"/>
                <w:sz w:val="19"/>
              </w:rPr>
              <w:t>Jugadores adultos</w:t>
            </w:r>
          </w:p>
        </w:tc>
        <w:tc>
          <w:tcPr>
            <w:tcW w:type="dxa" w:w="3097"/>
          </w:tcPr>
          <w:p>
            <w:r/>
            <w:r>
              <w:rPr>
                <w:b w:val="0"/>
                <w:sz w:val="19"/>
              </w:rPr>
              <w:t>Identificativos, ficha deportiva, carga de entrenamiento, GPS, bienestar, RPE, disponibilidad</w:t>
            </w:r>
          </w:p>
        </w:tc>
        <w:tc>
          <w:tcPr>
            <w:tcW w:type="dxa" w:w="3097"/>
          </w:tcPr>
          <w:p>
            <w:r/>
            <w:r>
              <w:rPr>
                <w:b w:val="0"/>
                <w:sz w:val="19"/>
              </w:rPr>
              <w:t>Art. 6</w:t>
            </w:r>
          </w:p>
        </w:tc>
      </w:tr>
      <w:tr>
        <w:tc>
          <w:tcPr>
            <w:tcW w:type="dxa" w:w="3097"/>
          </w:tcPr>
          <w:p>
            <w:r/>
            <w:r>
              <w:rPr>
                <w:b w:val="0"/>
                <w:sz w:val="19"/>
              </w:rPr>
              <w:t>Jugadores — salud</w:t>
            </w:r>
          </w:p>
        </w:tc>
        <w:tc>
          <w:tcPr>
            <w:tcW w:type="dxa" w:w="3097"/>
          </w:tcPr>
          <w:p>
            <w:r/>
            <w:r>
              <w:rPr>
                <w:b w:val="0"/>
                <w:sz w:val="19"/>
              </w:rPr>
              <w:t>Lesiones, tratamientos, episodios médicos, medicación, estudios, cirugías, documentos clínicos</w:t>
            </w:r>
          </w:p>
        </w:tc>
        <w:tc>
          <w:tcPr>
            <w:tcW w:type="dxa" w:w="3097"/>
          </w:tcPr>
          <w:p>
            <w:r/>
            <w:r>
              <w:rPr>
                <w:b/>
                <w:sz w:val="19"/>
              </w:rPr>
              <w:t>Art. 9</w:t>
            </w:r>
          </w:p>
        </w:tc>
      </w:tr>
      <w:tr>
        <w:tc>
          <w:tcPr>
            <w:tcW w:type="dxa" w:w="3097"/>
          </w:tcPr>
          <w:p>
            <w:r/>
            <w:r>
              <w:rPr>
                <w:b w:val="0"/>
                <w:sz w:val="19"/>
              </w:rPr>
              <w:t>Jugadores menores</w:t>
            </w:r>
          </w:p>
        </w:tc>
        <w:tc>
          <w:tcPr>
            <w:tcW w:type="dxa" w:w="3097"/>
          </w:tcPr>
          <w:p>
            <w:r/>
            <w:r>
              <w:rPr>
                <w:b w:val="0"/>
                <w:sz w:val="19"/>
              </w:rPr>
              <w:t>Todo lo anterior, respecto de al menos 24 personas identificadas</w:t>
            </w:r>
          </w:p>
        </w:tc>
        <w:tc>
          <w:tcPr>
            <w:tcW w:type="dxa" w:w="3097"/>
          </w:tcPr>
          <w:p>
            <w:r/>
            <w:r>
              <w:rPr>
                <w:b/>
                <w:sz w:val="19"/>
              </w:rPr>
              <w:t>Art. 9 + menor</w:t>
            </w:r>
          </w:p>
        </w:tc>
      </w:tr>
      <w:tr>
        <w:tc>
          <w:tcPr>
            <w:tcW w:type="dxa" w:w="3097"/>
          </w:tcPr>
          <w:p>
            <w:r/>
            <w:r>
              <w:rPr>
                <w:b w:val="0"/>
                <w:sz w:val="19"/>
              </w:rPr>
              <w:t>Personal técnico</w:t>
            </w:r>
          </w:p>
        </w:tc>
        <w:tc>
          <w:tcPr>
            <w:tcW w:type="dxa" w:w="3097"/>
          </w:tcPr>
          <w:p>
            <w:r/>
            <w:r>
              <w:rPr>
                <w:b w:val="0"/>
                <w:sz w:val="19"/>
              </w:rPr>
              <w:t>Identificativos, rol, actividad en la plataforma</w:t>
            </w:r>
          </w:p>
        </w:tc>
        <w:tc>
          <w:tcPr>
            <w:tcW w:type="dxa" w:w="3097"/>
          </w:tcPr>
          <w:p>
            <w:r/>
            <w:r>
              <w:rPr>
                <w:b w:val="0"/>
                <w:sz w:val="19"/>
              </w:rPr>
              <w:t>Art. 6</w:t>
            </w:r>
          </w:p>
        </w:tc>
      </w:tr>
      <w:tr>
        <w:tc>
          <w:tcPr>
            <w:tcW w:type="dxa" w:w="3097"/>
          </w:tcPr>
          <w:p>
            <w:r/>
            <w:r>
              <w:rPr>
                <w:b w:val="0"/>
                <w:sz w:val="19"/>
              </w:rPr>
              <w:t>Imagen</w:t>
            </w:r>
          </w:p>
        </w:tc>
        <w:tc>
          <w:tcPr>
            <w:tcW w:type="dxa" w:w="3097"/>
          </w:tcPr>
          <w:p>
            <w:r/>
            <w:r>
              <w:rPr>
                <w:b w:val="0"/>
                <w:sz w:val="19"/>
              </w:rPr>
              <w:t>Fotografías de ficha y vídeo de entrenamientos y partidos</w:t>
            </w:r>
          </w:p>
        </w:tc>
        <w:tc>
          <w:tcPr>
            <w:tcW w:type="dxa" w:w="3097"/>
          </w:tcPr>
          <w:p>
            <w:r/>
            <w:r>
              <w:rPr>
                <w:b/>
                <w:sz w:val="19"/>
              </w:rPr>
              <w:t>Fuera de plataforma</w:t>
            </w:r>
          </w:p>
        </w:tc>
      </w:tr>
    </w:tbl>
    <w:p/>
    <w:p>
      <w:pPr>
        <w:pStyle w:val="Heading3"/>
      </w:pPr>
      <w:r>
        <w:t>Naturaleza y finalidad</w:t>
      </w:r>
    </w:p>
    <w:p>
      <w:r>
        <w:rPr>
          <w:b w:val="0"/>
        </w:rPr>
        <w:t>Planificación y control de la carga de entrenamiento, seguimiento del estado de forma y disponibilidad, gestión de lesiones y readaptación, análisis de partido y comunicación interna del cuerpo técnico.</w:t>
      </w:r>
    </w:p>
    <w:p>
      <w:pPr>
        <w:pStyle w:val="NotaAbogada"/>
      </w:pPr>
      <w:r>
        <w:rPr>
          <w:b w:val="0"/>
        </w:rPr>
        <w:t>NOTA — Subsisten 23 fichas heredadas sin fecha de nacimiento. Mientras no se completen, el Responsable no puede declarar con exactitud cuántos menores trata, que es la primera cifra que requiere una autoridad de control. Conviene cerrarlas antes de la firma.</w:t>
      </w:r>
    </w:p>
    <w:p>
      <w:pPr>
        <w:pStyle w:val="Heading1"/>
      </w:pPr>
      <w:r>
        <w:t>Anexo II. Medidas técnicas y organizativas</w:t>
      </w:r>
    </w:p>
    <w:p>
      <w:r>
        <w:rPr>
          <w:b w:val="0"/>
        </w:rPr>
        <w:t>Artículo 32. Todo lo que sigue está implementado y es verificable; no se relacionan medidas meramente previstas.</w:t>
      </w:r>
    </w:p>
    <w:p>
      <w:pPr>
        <w:pStyle w:val="Heading3"/>
      </w:pPr>
      <w:r>
        <w:t>Aislamiento entre clientes</w:t>
      </w:r>
    </w:p>
    <w:p>
      <w:r>
        <w:rPr>
          <w:b w:val="0"/>
        </w:rPr>
        <w:t>Los datos de cada club están separados mediante políticas de seguridad a nivel de fila en la propia base de datos, no en la capa de aplicación. Un cliente no puede acceder a los datos de otro aunque manipule las peticiones, por residir el control fuera del cliente.</w:t>
      </w:r>
    </w:p>
    <w:p>
      <w:pPr>
        <w:pStyle w:val="Heading3"/>
      </w:pPr>
      <w:r>
        <w:t>Ausencia de acceso permanente del proveedor</w:t>
      </w:r>
    </w:p>
    <w:p>
      <w:r>
        <w:rPr>
          <w:b w:val="0"/>
        </w:rPr>
        <w:t>El personal del Encargado no dispone de acceso permanente. El régimen es el siguiente:</w:t>
      </w:r>
    </w:p>
    <w:p>
      <w:pPr>
        <w:pStyle w:val="ListBullet"/>
      </w:pPr>
      <w:r>
        <w:rPr>
          <w:b w:val="0"/>
        </w:rPr>
        <w:t>El Responsable otorga una ventana de acceso desde su panel, con una duración máxima de siete días, indicando el motivo.</w:t>
      </w:r>
    </w:p>
    <w:p>
      <w:pPr>
        <w:pStyle w:val="ListBullet"/>
      </w:pPr>
      <w:r>
        <w:rPr>
          <w:b w:val="0"/>
        </w:rPr>
        <w:t>Dentro de esa ventana, cada sesión de soporte dura como máximo dos horas, se circunscribe a un único club y exige declarar su finalidad.</w:t>
      </w:r>
    </w:p>
    <w:p>
      <w:pPr>
        <w:pStyle w:val="ListBullet"/>
      </w:pPr>
      <w:r>
        <w:rPr>
          <w:b w:val="0"/>
        </w:rPr>
        <w:t>El Responsable puede revocar la autorización en cualquier momento, con efecto inmediato sobre las sesiones en curso.</w:t>
      </w:r>
    </w:p>
    <w:p>
      <w:pPr>
        <w:pStyle w:val="ListBullet"/>
      </w:pPr>
      <w:r>
        <w:rPr>
          <w:b w:val="0"/>
        </w:rPr>
        <w:t>La autorización de un club no habilita el acceso a ningún otro.</w:t>
      </w:r>
    </w:p>
    <w:p>
      <w:pPr>
        <w:pStyle w:val="Heading3"/>
      </w:pPr>
      <w:r>
        <w:t>Registro inalterable de accesos</w:t>
      </w:r>
    </w:p>
    <w:p>
      <w:r>
        <w:rPr>
          <w:b w:val="0"/>
        </w:rPr>
        <w:t xml:space="preserve">Toda concesión, revocación, dispensa, sesión y pantalla consultada se inscribe en un registro de sólo anexado, consultable por el Responsable en su panel. El registro </w:t>
      </w:r>
      <w:r>
        <w:rPr>
          <w:b/>
        </w:rPr>
        <w:t>no admite modificación ni supresión por ningún rol, incluidas las credenciales administrativas de la base de datos</w:t>
      </w:r>
      <w:r>
        <w:rPr>
          <w:b w:val="0"/>
        </w:rPr>
        <w:t>, al estar impedido por disparador en el propio motor.</w:t>
      </w:r>
    </w:p>
    <w:p>
      <w:pPr>
        <w:pStyle w:val="Heading3"/>
      </w:pPr>
      <w:r>
        <w:t>Vetos y conflicto de interés</w:t>
      </w:r>
    </w:p>
    <w:p>
      <w:r>
        <w:rPr>
          <w:b w:val="0"/>
        </w:rPr>
        <w:t xml:space="preserve">El Responsable puede vetar nominalmente a cualquier persona del Encargado. El veto es irreversible para el vetado: sólo el Responsable puede levantarlo, y </w:t>
      </w:r>
      <w:r>
        <w:rPr>
          <w:b/>
        </w:rPr>
        <w:t>no admite dispensa por ninguna otra vía</w:t>
      </w:r>
      <w:r>
        <w:rPr>
          <w:b w:val="0"/>
        </w:rPr>
        <w:t>. Opera además el veto automático por jurisdicción de la cláusula 12.2, dispensable por el Responsable en los términos de la cláusula 12.4.</w:t>
      </w:r>
    </w:p>
    <w:p>
      <w:pPr>
        <w:pStyle w:val="Heading3"/>
      </w:pPr>
      <w:r>
        <w:t>Cifrado y alojamiento</w:t>
      </w:r>
    </w:p>
    <w:p>
      <w:r>
        <w:rPr>
          <w:b w:val="0"/>
        </w:rPr>
        <w:t>Cifrado en tránsito mediante TLS y en reposo en el proveedor de infraestructura. Alojamiento en la Unión Europea, región de Fráncfort.</w:t>
      </w:r>
    </w:p>
    <w:p>
      <w:pPr>
        <w:pStyle w:val="NotaAbogada"/>
      </w:pPr>
      <w:r>
        <w:rPr>
          <w:b w:val="0"/>
        </w:rPr>
        <w:t>NOTA — Tres extremos habituales en auditoría no pueden afirmarse hoy: política de copias de seguridad con objetivo de recuperación declarado, prueba de restauración documentada, y autenticación de doble factor obligatoria para el personal del Encargado. Conviene implantarlos antes de la firma: son fáciles de comprobar.</w:t>
      </w:r>
    </w:p>
    <w:p>
      <w:pPr>
        <w:pStyle w:val="Heading1"/>
      </w:pPr>
      <w:r>
        <w:t>Anexo III. Subencargados autorizados</w:t>
      </w:r>
    </w:p>
    <w:p>
      <w:r>
        <w:rPr>
          <w:b w:val="0"/>
        </w:rPr>
        <w:t>Inventario extraído del código, no declarativo. Debe publicarse en la web para que el Responsable pueda ejercer el derecho de oposición del artículo 28.2.</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2323"/>
          </w:tcPr>
          <w:p>
            <w:r/>
            <w:r>
              <w:rPr>
                <w:b/>
                <w:sz w:val="19"/>
              </w:rPr>
              <w:t>Proveedor</w:t>
            </w:r>
          </w:p>
        </w:tc>
        <w:tc>
          <w:tcPr>
            <w:tcW w:type="dxa" w:w="2323"/>
          </w:tcPr>
          <w:p>
            <w:r/>
            <w:r>
              <w:rPr>
                <w:b/>
                <w:sz w:val="19"/>
              </w:rPr>
              <w:t>Función</w:t>
            </w:r>
          </w:p>
        </w:tc>
        <w:tc>
          <w:tcPr>
            <w:tcW w:type="dxa" w:w="2323"/>
          </w:tcPr>
          <w:p>
            <w:r/>
            <w:r>
              <w:rPr>
                <w:b/>
                <w:sz w:val="19"/>
              </w:rPr>
              <w:t>¿Datos de jugador?</w:t>
            </w:r>
          </w:p>
        </w:tc>
        <w:tc>
          <w:tcPr>
            <w:tcW w:type="dxa" w:w="2323"/>
          </w:tcPr>
          <w:p>
            <w:r/>
            <w:r>
              <w:rPr>
                <w:b/>
                <w:sz w:val="19"/>
              </w:rPr>
              <w:t>Ubicación</w:t>
            </w:r>
          </w:p>
        </w:tc>
      </w:tr>
      <w:tr>
        <w:tc>
          <w:tcPr>
            <w:tcW w:type="dxa" w:w="2323"/>
          </w:tcPr>
          <w:p>
            <w:r/>
            <w:r>
              <w:rPr>
                <w:b w:val="0"/>
                <w:sz w:val="19"/>
              </w:rPr>
              <w:t>Supabase</w:t>
            </w:r>
          </w:p>
        </w:tc>
        <w:tc>
          <w:tcPr>
            <w:tcW w:type="dxa" w:w="2323"/>
          </w:tcPr>
          <w:p>
            <w:r/>
            <w:r>
              <w:rPr>
                <w:b w:val="0"/>
                <w:sz w:val="19"/>
              </w:rPr>
              <w:t>Base de datos, autenticación y almacenamiento</w:t>
            </w:r>
          </w:p>
        </w:tc>
        <w:tc>
          <w:tcPr>
            <w:tcW w:type="dxa" w:w="2323"/>
          </w:tcPr>
          <w:p>
            <w:r/>
            <w:r>
              <w:rPr>
                <w:b/>
                <w:sz w:val="19"/>
              </w:rPr>
              <w:t>Sí, todos</w:t>
            </w:r>
          </w:p>
        </w:tc>
        <w:tc>
          <w:tcPr>
            <w:tcW w:type="dxa" w:w="2323"/>
          </w:tcPr>
          <w:p>
            <w:r/>
            <w:r>
              <w:rPr>
                <w:b w:val="0"/>
                <w:sz w:val="19"/>
              </w:rPr>
              <w:t>UE · Fráncfort</w:t>
            </w:r>
          </w:p>
        </w:tc>
      </w:tr>
      <w:tr>
        <w:tc>
          <w:tcPr>
            <w:tcW w:type="dxa" w:w="2323"/>
          </w:tcPr>
          <w:p>
            <w:r/>
            <w:r>
              <w:rPr>
                <w:b w:val="0"/>
                <w:sz w:val="19"/>
              </w:rPr>
              <w:t>Catapult Sports</w:t>
            </w:r>
          </w:p>
        </w:tc>
        <w:tc>
          <w:tcPr>
            <w:tcW w:type="dxa" w:w="2323"/>
          </w:tcPr>
          <w:p>
            <w:r/>
            <w:r>
              <w:rPr>
                <w:b w:val="0"/>
                <w:sz w:val="19"/>
              </w:rPr>
              <w:t>Importación de datos GPS</w:t>
            </w:r>
          </w:p>
        </w:tc>
        <w:tc>
          <w:tcPr>
            <w:tcW w:type="dxa" w:w="2323"/>
          </w:tcPr>
          <w:p>
            <w:r/>
            <w:r>
              <w:rPr>
                <w:b/>
                <w:sz w:val="19"/>
              </w:rPr>
              <w:t>Sí</w:t>
            </w:r>
          </w:p>
        </w:tc>
        <w:tc>
          <w:tcPr>
            <w:tcW w:type="dxa" w:w="2323"/>
          </w:tcPr>
          <w:p>
            <w:r/>
            <w:r>
              <w:rPr>
                <w:b w:val="0"/>
                <w:sz w:val="19"/>
              </w:rPr>
              <w:t>UE / EE. UU. / AU</w:t>
            </w:r>
          </w:p>
        </w:tc>
      </w:tr>
      <w:tr>
        <w:tc>
          <w:tcPr>
            <w:tcW w:type="dxa" w:w="2323"/>
          </w:tcPr>
          <w:p>
            <w:r/>
            <w:r>
              <w:rPr>
                <w:b w:val="0"/>
                <w:sz w:val="19"/>
              </w:rPr>
              <w:t>Anthropic</w:t>
            </w:r>
          </w:p>
        </w:tc>
        <w:tc>
          <w:tcPr>
            <w:tcW w:type="dxa" w:w="2323"/>
          </w:tcPr>
          <w:p>
            <w:r/>
            <w:r>
              <w:rPr>
                <w:b w:val="0"/>
                <w:sz w:val="19"/>
              </w:rPr>
              <w:t>Generación de planes y etiquetado</w:t>
            </w:r>
          </w:p>
        </w:tc>
        <w:tc>
          <w:tcPr>
            <w:tcW w:type="dxa" w:w="2323"/>
          </w:tcPr>
          <w:p>
            <w:r/>
            <w:r>
              <w:rPr>
                <w:b/>
                <w:sz w:val="19"/>
              </w:rPr>
              <w:t>A verificar</w:t>
            </w:r>
          </w:p>
        </w:tc>
        <w:tc>
          <w:tcPr>
            <w:tcW w:type="dxa" w:w="2323"/>
          </w:tcPr>
          <w:p>
            <w:r/>
            <w:r>
              <w:rPr>
                <w:b w:val="0"/>
                <w:sz w:val="19"/>
              </w:rPr>
              <w:t>EE. UU.</w:t>
            </w:r>
          </w:p>
        </w:tc>
      </w:tr>
      <w:tr>
        <w:tc>
          <w:tcPr>
            <w:tcW w:type="dxa" w:w="2323"/>
          </w:tcPr>
          <w:p>
            <w:r/>
            <w:r>
              <w:rPr>
                <w:b w:val="0"/>
                <w:sz w:val="19"/>
              </w:rPr>
              <w:t>Dropbox, Google Drive, YouTube, Vimeo</w:t>
            </w:r>
          </w:p>
        </w:tc>
        <w:tc>
          <w:tcPr>
            <w:tcW w:type="dxa" w:w="2323"/>
          </w:tcPr>
          <w:p>
            <w:r/>
            <w:r>
              <w:rPr>
                <w:b w:val="0"/>
                <w:sz w:val="19"/>
              </w:rPr>
              <w:t>Alojamiento de vídeo</w:t>
            </w:r>
          </w:p>
        </w:tc>
        <w:tc>
          <w:tcPr>
            <w:tcW w:type="dxa" w:w="2323"/>
          </w:tcPr>
          <w:p>
            <w:r/>
            <w:r>
              <w:rPr>
                <w:b/>
                <w:sz w:val="19"/>
              </w:rPr>
              <w:t>Imagen</w:t>
            </w:r>
          </w:p>
        </w:tc>
        <w:tc>
          <w:tcPr>
            <w:tcW w:type="dxa" w:w="2323"/>
          </w:tcPr>
          <w:p>
            <w:r/>
            <w:r>
              <w:rPr>
                <w:b w:val="0"/>
                <w:sz w:val="19"/>
              </w:rPr>
              <w:t>EE. UU.</w:t>
            </w:r>
          </w:p>
        </w:tc>
      </w:tr>
      <w:tr>
        <w:tc>
          <w:tcPr>
            <w:tcW w:type="dxa" w:w="2323"/>
          </w:tcPr>
          <w:p>
            <w:r/>
            <w:r>
              <w:rPr>
                <w:b w:val="0"/>
                <w:sz w:val="19"/>
              </w:rPr>
              <w:t>Resend</w:t>
            </w:r>
          </w:p>
        </w:tc>
        <w:tc>
          <w:tcPr>
            <w:tcW w:type="dxa" w:w="2323"/>
          </w:tcPr>
          <w:p>
            <w:r/>
            <w:r>
              <w:rPr>
                <w:b w:val="0"/>
                <w:sz w:val="19"/>
              </w:rPr>
              <w:t>Correo transaccional</w:t>
            </w:r>
          </w:p>
        </w:tc>
        <w:tc>
          <w:tcPr>
            <w:tcW w:type="dxa" w:w="2323"/>
          </w:tcPr>
          <w:p>
            <w:r/>
            <w:r>
              <w:rPr>
                <w:b w:val="0"/>
                <w:sz w:val="19"/>
              </w:rPr>
              <w:t>Correo y nombre</w:t>
            </w:r>
          </w:p>
        </w:tc>
        <w:tc>
          <w:tcPr>
            <w:tcW w:type="dxa" w:w="2323"/>
          </w:tcPr>
          <w:p>
            <w:r/>
            <w:r>
              <w:rPr>
                <w:b w:val="0"/>
                <w:sz w:val="19"/>
              </w:rPr>
              <w:t>EE. UU.</w:t>
            </w:r>
          </w:p>
        </w:tc>
      </w:tr>
      <w:tr>
        <w:tc>
          <w:tcPr>
            <w:tcW w:type="dxa" w:w="2323"/>
          </w:tcPr>
          <w:p>
            <w:r/>
            <w:r>
              <w:rPr>
                <w:b w:val="0"/>
                <w:sz w:val="19"/>
              </w:rPr>
              <w:t>Paddle</w:t>
            </w:r>
          </w:p>
        </w:tc>
        <w:tc>
          <w:tcPr>
            <w:tcW w:type="dxa" w:w="2323"/>
          </w:tcPr>
          <w:p>
            <w:r/>
            <w:r>
              <w:rPr>
                <w:b w:val="0"/>
                <w:sz w:val="19"/>
              </w:rPr>
              <w:t>Pagos y facturación</w:t>
            </w:r>
          </w:p>
        </w:tc>
        <w:tc>
          <w:tcPr>
            <w:tcW w:type="dxa" w:w="2323"/>
          </w:tcPr>
          <w:p>
            <w:r/>
            <w:r>
              <w:rPr>
                <w:b w:val="0"/>
                <w:sz w:val="19"/>
              </w:rPr>
              <w:t>No</w:t>
            </w:r>
          </w:p>
        </w:tc>
        <w:tc>
          <w:tcPr>
            <w:tcW w:type="dxa" w:w="2323"/>
          </w:tcPr>
          <w:p>
            <w:r/>
            <w:r>
              <w:rPr>
                <w:b w:val="0"/>
                <w:sz w:val="19"/>
              </w:rPr>
              <w:t>UE / RU</w:t>
            </w:r>
          </w:p>
        </w:tc>
      </w:tr>
      <w:tr>
        <w:tc>
          <w:tcPr>
            <w:tcW w:type="dxa" w:w="2323"/>
          </w:tcPr>
          <w:p>
            <w:r/>
            <w:r>
              <w:rPr>
                <w:b w:val="0"/>
                <w:sz w:val="19"/>
              </w:rPr>
              <w:t>HubSpot</w:t>
            </w:r>
          </w:p>
        </w:tc>
        <w:tc>
          <w:tcPr>
            <w:tcW w:type="dxa" w:w="2323"/>
          </w:tcPr>
          <w:p>
            <w:r/>
            <w:r>
              <w:rPr>
                <w:b w:val="0"/>
                <w:sz w:val="19"/>
              </w:rPr>
              <w:t>Seguimiento comercial</w:t>
            </w:r>
          </w:p>
        </w:tc>
        <w:tc>
          <w:tcPr>
            <w:tcW w:type="dxa" w:w="2323"/>
          </w:tcPr>
          <w:p>
            <w:r/>
            <w:r>
              <w:rPr>
                <w:b w:val="0"/>
                <w:sz w:val="19"/>
              </w:rPr>
              <w:t>No</w:t>
            </w:r>
          </w:p>
        </w:tc>
        <w:tc>
          <w:tcPr>
            <w:tcW w:type="dxa" w:w="2323"/>
          </w:tcPr>
          <w:p>
            <w:r/>
            <w:r>
              <w:rPr>
                <w:b w:val="0"/>
                <w:sz w:val="19"/>
              </w:rPr>
              <w:t>EE. UU.</w:t>
            </w:r>
          </w:p>
        </w:tc>
      </w:tr>
      <w:tr>
        <w:tc>
          <w:tcPr>
            <w:tcW w:type="dxa" w:w="2323"/>
          </w:tcPr>
          <w:p>
            <w:r/>
            <w:r>
              <w:rPr>
                <w:b w:val="0"/>
                <w:sz w:val="19"/>
              </w:rPr>
              <w:t>Open-Meteo</w:t>
            </w:r>
          </w:p>
        </w:tc>
        <w:tc>
          <w:tcPr>
            <w:tcW w:type="dxa" w:w="2323"/>
          </w:tcPr>
          <w:p>
            <w:r/>
            <w:r>
              <w:rPr>
                <w:b w:val="0"/>
                <w:sz w:val="19"/>
              </w:rPr>
              <w:t>Meteorología de sesión</w:t>
            </w:r>
          </w:p>
        </w:tc>
        <w:tc>
          <w:tcPr>
            <w:tcW w:type="dxa" w:w="2323"/>
          </w:tcPr>
          <w:p>
            <w:r/>
            <w:r>
              <w:rPr>
                <w:b w:val="0"/>
                <w:sz w:val="19"/>
              </w:rPr>
              <w:t>No</w:t>
            </w:r>
          </w:p>
        </w:tc>
        <w:tc>
          <w:tcPr>
            <w:tcW w:type="dxa" w:w="2323"/>
          </w:tcPr>
          <w:p>
            <w:r/>
            <w:r>
              <w:rPr>
                <w:b w:val="0"/>
                <w:sz w:val="19"/>
              </w:rPr>
              <w:t>UE</w:t>
            </w:r>
          </w:p>
        </w:tc>
      </w:tr>
    </w:tbl>
    <w:p/>
    <w:p>
      <w:pPr>
        <w:pStyle w:val="NotaAbogada"/>
      </w:pPr>
      <w:r>
        <w:rPr>
          <w:b w:val="0"/>
        </w:rPr>
        <w:t>NOTA — Dos extremos a resolver antes de la firma. Primero, Anthropic: debe determinarse qué se remite exactamente en las funciones de generación y etiquetado; si se remiten datos de jugadores identificados, entra como subencargado con todo su régimen. Segundo, el vídeo: cuatro proveedores fuera del EEE alojando imágenes de jugadores, incluidos menores; o se regularizan aquí, o el contrato excluye expresamente el alojamiento de vídeo del encargo.</w:t>
      </w:r>
    </w:p>
    <w:p>
      <w:pPr>
        <w:pStyle w:val="Heading1"/>
      </w:pPr>
      <w:r>
        <w:t>Anexo IV. Datos de salud y menores</w:t>
      </w:r>
    </w:p>
    <w:p>
      <w:pPr>
        <w:pStyle w:val="Heading3"/>
      </w:pPr>
      <w:r>
        <w:t>Base de licitud</w:t>
      </w:r>
    </w:p>
    <w:p>
      <w:r>
        <w:rPr>
          <w:b w:val="0"/>
        </w:rPr>
        <w:t>El artículo 9.1 prohíbe tratar datos de salud salvo excepción. Para un club deportivo, la vía más sólida suele ser el artículo 9.2.h —medicina preventiva, evaluación de la capacidad laboral del trabajador— siempre que el tratamiento se realice por profesional sujeto a secreto o bajo su responsabilidad.</w:t>
      </w:r>
    </w:p>
    <w:p>
      <w:r>
        <w:rPr>
          <w:b w:val="0"/>
        </w:rPr>
        <w:t>La alternativa del consentimiento explícito del artículo 9.2.a resulta más frágil en una relación laboral, por la doctrina sobre la libertad del consentimiento frente al empleador.</w:t>
      </w:r>
    </w:p>
    <w:p>
      <w:pPr>
        <w:pStyle w:val="NotaAbogada"/>
      </w:pPr>
      <w:r>
        <w:rPr>
          <w:b w:val="0"/>
        </w:rPr>
        <w:t>NOTA — Es la primera decisión a adoptar, porque condiciona el producto: si la base es el 9.2.h, la plataforma debe poder acreditar que el acceso a lo clínico se limita a perfiles sanitarios. El sistema de roles ya lo contempla, pero debería auditarse específicamente.</w:t>
      </w:r>
    </w:p>
    <w:p>
      <w:pPr>
        <w:pStyle w:val="Heading3"/>
      </w:pPr>
      <w:r>
        <w:t>Menores</w:t>
      </w:r>
    </w:p>
    <w:p>
      <w:r>
        <w:rPr>
          <w:b w:val="0"/>
        </w:rPr>
        <w:t>Cuando el interesado sea menor, la información debe ofrecerse en lenguaje claro y adaptado, y el consentimiento —cuando proceda— corresponde a quien ejerza la patria potestad. La plataforma debería, como mínimo:</w:t>
      </w:r>
    </w:p>
    <w:p>
      <w:pPr>
        <w:pStyle w:val="ListBullet"/>
      </w:pPr>
      <w:r>
        <w:rPr>
          <w:b w:val="0"/>
        </w:rPr>
        <w:t xml:space="preserve">Exigir la fecha de nacimiento, para identificar automáticamente a los menores. </w:t>
      </w:r>
      <w:r>
        <w:rPr>
          <w:b/>
        </w:rPr>
        <w:t>Implantado el 16 de septiembre de 2026.</w:t>
      </w:r>
    </w:p>
    <w:p>
      <w:pPr>
        <w:pStyle w:val="ListBullet"/>
      </w:pPr>
      <w:r>
        <w:rPr>
          <w:b w:val="0"/>
        </w:rPr>
        <w:t xml:space="preserve">Señalar visiblemente las fichas de menores y registrar quién autorizó su tratamiento y cuándo. </w:t>
      </w:r>
      <w:r>
        <w:rPr>
          <w:b/>
        </w:rPr>
        <w:t>Pendiente.</w:t>
      </w:r>
    </w:p>
    <w:p>
      <w:pPr>
        <w:pStyle w:val="ListBullet"/>
      </w:pPr>
      <w:r>
        <w:rPr>
          <w:b w:val="0"/>
        </w:rPr>
        <w:t xml:space="preserve">Restringir por defecto la compartición externa de vídeo e informes de menores. </w:t>
      </w:r>
      <w:r>
        <w:rPr>
          <w:b/>
        </w:rPr>
        <w:t>Pendiente.</w:t>
      </w:r>
    </w:p>
    <w:p>
      <w:pPr>
        <w:pStyle w:val="Heading3"/>
      </w:pPr>
      <w:r>
        <w:t>Evaluación de impacto</w:t>
      </w:r>
    </w:p>
    <w:p>
      <w:r>
        <w:rPr>
          <w:b w:val="0"/>
        </w:rPr>
        <w:t>Concurren varios de los criterios del artículo 35: tratamiento a gran escala de datos de categoría especial, seguimiento sistemático de personas identificadas y presencia de colectivo vulnerable. Se recomienda darla por exigible y realizarla, en lugar de argumentar su innecesariedad.</w:t>
      </w:r>
    </w:p>
    <w:p>
      <w:r>
        <w:br w:type="page"/>
      </w:r>
    </w:p>
    <w:p>
      <w:pPr>
        <w:pStyle w:val="Heading1"/>
      </w:pPr>
      <w:r>
        <w:t>4. Extremos pendientes de decisión</w:t>
      </w:r>
    </w:p>
    <w:p>
      <w:r>
        <w:rPr>
          <w:b w:val="0"/>
        </w:rPr>
        <w:t>Sin estos datos el articulado no puede cerrarse.</w:t>
      </w:r>
    </w:p>
    <w:tbl>
      <w:tblPr>
        <w:tblStyle w:val="LightGrid-Accent1"/>
        <w:tblW w:type="auto" w:w="0"/>
        <w:jc w:val="center"/>
        <w:tblLook w:firstColumn="1" w:firstRow="1" w:lastColumn="0" w:lastRow="0" w:noHBand="0" w:noVBand="1" w:val="04A0"/>
      </w:tblPr>
      <w:tblGrid>
        <w:gridCol w:w="3097"/>
        <w:gridCol w:w="3097"/>
        <w:gridCol w:w="3097"/>
      </w:tblGrid>
      <w:tr>
        <w:tc>
          <w:tcPr>
            <w:tcW w:type="dxa" w:w="3097"/>
          </w:tcPr>
          <w:p>
            <w:r/>
            <w:r>
              <w:rPr>
                <w:b/>
                <w:sz w:val="19"/>
              </w:rPr>
              <w:t>Extremo</w:t>
            </w:r>
          </w:p>
        </w:tc>
        <w:tc>
          <w:tcPr>
            <w:tcW w:type="dxa" w:w="3097"/>
          </w:tcPr>
          <w:p>
            <w:r/>
            <w:r>
              <w:rPr>
                <w:b/>
                <w:sz w:val="19"/>
              </w:rPr>
              <w:t>Cláusula</w:t>
            </w:r>
          </w:p>
        </w:tc>
        <w:tc>
          <w:tcPr>
            <w:tcW w:type="dxa" w:w="3097"/>
          </w:tcPr>
          <w:p>
            <w:r/>
            <w:r>
              <w:rPr>
                <w:b/>
                <w:sz w:val="19"/>
              </w:rPr>
              <w:t>Quién lo resuelve</w:t>
            </w:r>
          </w:p>
        </w:tc>
      </w:tr>
      <w:tr>
        <w:tc>
          <w:tcPr>
            <w:tcW w:type="dxa" w:w="3097"/>
          </w:tcPr>
          <w:p>
            <w:r/>
            <w:r>
              <w:rPr>
                <w:b w:val="0"/>
                <w:sz w:val="19"/>
              </w:rPr>
              <w:t>Razón social, domicilio y NIF de ClavaMetrics</w:t>
            </w:r>
          </w:p>
        </w:tc>
        <w:tc>
          <w:tcPr>
            <w:tcW w:type="dxa" w:w="3097"/>
          </w:tcPr>
          <w:p>
            <w:r/>
            <w:r>
              <w:rPr>
                <w:b w:val="0"/>
                <w:sz w:val="19"/>
              </w:rPr>
              <w:t>Expositivo</w:t>
            </w:r>
          </w:p>
        </w:tc>
        <w:tc>
          <w:tcPr>
            <w:tcW w:type="dxa" w:w="3097"/>
          </w:tcPr>
          <w:p>
            <w:r/>
            <w:r>
              <w:rPr>
                <w:b w:val="0"/>
                <w:sz w:val="19"/>
              </w:rPr>
              <w:t>¿Sociedad constituida o profesional autónomo?</w:t>
            </w:r>
          </w:p>
        </w:tc>
      </w:tr>
      <w:tr>
        <w:tc>
          <w:tcPr>
            <w:tcW w:type="dxa" w:w="3097"/>
          </w:tcPr>
          <w:p>
            <w:r/>
            <w:r>
              <w:rPr>
                <w:b w:val="0"/>
                <w:sz w:val="19"/>
              </w:rPr>
              <w:t>Nombres y apellidos de ambos declarantes</w:t>
            </w:r>
          </w:p>
        </w:tc>
        <w:tc>
          <w:tcPr>
            <w:tcW w:type="dxa" w:w="3097"/>
          </w:tcPr>
          <w:p>
            <w:r/>
            <w:r>
              <w:rPr>
                <w:b w:val="0"/>
                <w:sz w:val="19"/>
              </w:rPr>
              <w:t>12.1</w:t>
            </w:r>
          </w:p>
        </w:tc>
        <w:tc>
          <w:tcPr>
            <w:tcW w:type="dxa" w:w="3097"/>
          </w:tcPr>
          <w:p>
            <w:r/>
            <w:r>
              <w:rPr>
                <w:b w:val="0"/>
                <w:sz w:val="19"/>
              </w:rPr>
              <w:t>Cliente</w:t>
            </w:r>
          </w:p>
        </w:tc>
      </w:tr>
      <w:tr>
        <w:tc>
          <w:tcPr>
            <w:tcW w:type="dxa" w:w="3097"/>
          </w:tcPr>
          <w:p>
            <w:r/>
            <w:r>
              <w:rPr>
                <w:b w:val="0"/>
                <w:sz w:val="19"/>
              </w:rPr>
              <w:t>Importe de la cláusula penal</w:t>
            </w:r>
          </w:p>
        </w:tc>
        <w:tc>
          <w:tcPr>
            <w:tcW w:type="dxa" w:w="3097"/>
          </w:tcPr>
          <w:p>
            <w:r/>
            <w:r>
              <w:rPr>
                <w:b w:val="0"/>
                <w:sz w:val="19"/>
              </w:rPr>
              <w:t>12.5</w:t>
            </w:r>
          </w:p>
        </w:tc>
        <w:tc>
          <w:tcPr>
            <w:tcW w:type="dxa" w:w="3097"/>
          </w:tcPr>
          <w:p>
            <w:r/>
            <w:r>
              <w:rPr>
                <w:b w:val="0"/>
                <w:sz w:val="19"/>
              </w:rPr>
              <w:t>Cliente y abogada</w:t>
            </w:r>
          </w:p>
        </w:tc>
      </w:tr>
      <w:tr>
        <w:tc>
          <w:tcPr>
            <w:tcW w:type="dxa" w:w="3097"/>
          </w:tcPr>
          <w:p>
            <w:r/>
            <w:r>
              <w:rPr>
                <w:b w:val="0"/>
                <w:sz w:val="19"/>
              </w:rPr>
              <w:t>Qué se remite exactamente a Anthropic</w:t>
            </w:r>
          </w:p>
        </w:tc>
        <w:tc>
          <w:tcPr>
            <w:tcW w:type="dxa" w:w="3097"/>
          </w:tcPr>
          <w:p>
            <w:r/>
            <w:r>
              <w:rPr>
                <w:b w:val="0"/>
                <w:sz w:val="19"/>
              </w:rPr>
              <w:t>Anexo III</w:t>
            </w:r>
          </w:p>
        </w:tc>
        <w:tc>
          <w:tcPr>
            <w:tcW w:type="dxa" w:w="3097"/>
          </w:tcPr>
          <w:p>
            <w:r/>
            <w:r>
              <w:rPr>
                <w:b w:val="0"/>
                <w:sz w:val="19"/>
              </w:rPr>
              <w:t>Auditoría técnica pendiente</w:t>
            </w:r>
          </w:p>
        </w:tc>
      </w:tr>
      <w:tr>
        <w:tc>
          <w:tcPr>
            <w:tcW w:type="dxa" w:w="3097"/>
          </w:tcPr>
          <w:p>
            <w:r/>
            <w:r>
              <w:rPr>
                <w:b w:val="0"/>
                <w:sz w:val="19"/>
              </w:rPr>
              <w:t>Régimen del vídeo: dentro o fuera del encargo</w:t>
            </w:r>
          </w:p>
        </w:tc>
        <w:tc>
          <w:tcPr>
            <w:tcW w:type="dxa" w:w="3097"/>
          </w:tcPr>
          <w:p>
            <w:r/>
            <w:r>
              <w:rPr>
                <w:b w:val="0"/>
                <w:sz w:val="19"/>
              </w:rPr>
              <w:t>Anexo III</w:t>
            </w:r>
          </w:p>
        </w:tc>
        <w:tc>
          <w:tcPr>
            <w:tcW w:type="dxa" w:w="3097"/>
          </w:tcPr>
          <w:p>
            <w:r/>
            <w:r>
              <w:rPr>
                <w:b w:val="0"/>
                <w:sz w:val="19"/>
              </w:rPr>
              <w:t>Decisión de producto</w:t>
            </w:r>
          </w:p>
        </w:tc>
      </w:tr>
      <w:tr>
        <w:tc>
          <w:tcPr>
            <w:tcW w:type="dxa" w:w="3097"/>
          </w:tcPr>
          <w:p>
            <w:r/>
            <w:r>
              <w:rPr>
                <w:b w:val="0"/>
                <w:sz w:val="19"/>
              </w:rPr>
              <w:t>Base de licitud para datos de salud: 9.2.h o 9.2.a</w:t>
            </w:r>
          </w:p>
        </w:tc>
        <w:tc>
          <w:tcPr>
            <w:tcW w:type="dxa" w:w="3097"/>
          </w:tcPr>
          <w:p>
            <w:r/>
            <w:r>
              <w:rPr>
                <w:b w:val="0"/>
                <w:sz w:val="19"/>
              </w:rPr>
              <w:t>Anexo IV</w:t>
            </w:r>
          </w:p>
        </w:tc>
        <w:tc>
          <w:tcPr>
            <w:tcW w:type="dxa" w:w="3097"/>
          </w:tcPr>
          <w:p>
            <w:r/>
            <w:r>
              <w:rPr>
                <w:b w:val="0"/>
                <w:sz w:val="19"/>
              </w:rPr>
              <w:t>Abogada</w:t>
            </w:r>
          </w:p>
        </w:tc>
      </w:tr>
      <w:tr>
        <w:tc>
          <w:tcPr>
            <w:tcW w:type="dxa" w:w="3097"/>
          </w:tcPr>
          <w:p>
            <w:r/>
            <w:r>
              <w:rPr>
                <w:b w:val="0"/>
                <w:sz w:val="19"/>
              </w:rPr>
              <w:t>Plazos de preaviso, supresión y notificación</w:t>
            </w:r>
          </w:p>
        </w:tc>
        <w:tc>
          <w:tcPr>
            <w:tcW w:type="dxa" w:w="3097"/>
          </w:tcPr>
          <w:p>
            <w:r/>
            <w:r>
              <w:rPr>
                <w:b w:val="0"/>
                <w:sz w:val="19"/>
              </w:rPr>
              <w:t>6, 8, 9</w:t>
            </w:r>
          </w:p>
        </w:tc>
        <w:tc>
          <w:tcPr>
            <w:tcW w:type="dxa" w:w="3097"/>
          </w:tcPr>
          <w:p>
            <w:r/>
            <w:r>
              <w:rPr>
                <w:b w:val="0"/>
                <w:sz w:val="19"/>
              </w:rPr>
              <w:t>Los propuestos son conservadores</w:t>
            </w:r>
          </w:p>
        </w:tc>
      </w:tr>
      <w:tr>
        <w:tc>
          <w:tcPr>
            <w:tcW w:type="dxa" w:w="3097"/>
          </w:tcPr>
          <w:p>
            <w:r/>
            <w:r>
              <w:rPr>
                <w:b w:val="0"/>
                <w:sz w:val="19"/>
              </w:rPr>
              <w:t>Ley aplicable y fuero</w:t>
            </w:r>
          </w:p>
        </w:tc>
        <w:tc>
          <w:tcPr>
            <w:tcW w:type="dxa" w:w="3097"/>
          </w:tcPr>
          <w:p>
            <w:r/>
            <w:r>
              <w:rPr>
                <w:b w:val="0"/>
                <w:sz w:val="19"/>
              </w:rPr>
              <w:t>Final</w:t>
            </w:r>
          </w:p>
        </w:tc>
        <w:tc>
          <w:tcPr>
            <w:tcW w:type="dxa" w:w="3097"/>
          </w:tcPr>
          <w:p>
            <w:r/>
            <w:r>
              <w:rPr>
                <w:b w:val="0"/>
                <w:sz w:val="19"/>
              </w:rPr>
              <w:t>Abogada — cartera en cuatro jurisdicciones</w:t>
            </w:r>
          </w:p>
        </w:tc>
      </w:tr>
      <w:tr>
        <w:tc>
          <w:tcPr>
            <w:tcW w:type="dxa" w:w="3097"/>
          </w:tcPr>
          <w:p>
            <w:r/>
            <w:r>
              <w:rPr>
                <w:b w:val="0"/>
                <w:sz w:val="19"/>
              </w:rPr>
              <w:t>Completar 23 fichas sin fecha de nacimiento</w:t>
            </w:r>
          </w:p>
        </w:tc>
        <w:tc>
          <w:tcPr>
            <w:tcW w:type="dxa" w:w="3097"/>
          </w:tcPr>
          <w:p>
            <w:r/>
            <w:r>
              <w:rPr>
                <w:b w:val="0"/>
                <w:sz w:val="19"/>
              </w:rPr>
              <w:t>Anexo I</w:t>
            </w:r>
          </w:p>
        </w:tc>
        <w:tc>
          <w:tcPr>
            <w:tcW w:type="dxa" w:w="3097"/>
          </w:tcPr>
          <w:p>
            <w:r/>
            <w:r>
              <w:rPr>
                <w:b w:val="0"/>
                <w:sz w:val="19"/>
              </w:rPr>
              <w:t>Cliente, antes de firmar</w:t>
            </w:r>
          </w:p>
        </w:tc>
      </w:tr>
    </w:tbl>
    <w:p/>
    <w:p>
      <w:pPr>
        <w:pStyle w:val="NotaAbogada"/>
      </w:pPr>
      <w:r>
        <w:rPr>
          <w:b w:val="0"/>
        </w:rPr>
        <w:t>NOTA — Orden sugerido: cerrar primero la base de licitud del Anexo IV, porque condiciona el producto y no sólo el papel; después el régimen del vídeo; y por último los importes y plazos, que son negociación ordinaria.</w:t>
      </w:r>
    </w:p>
    <w:sectPr w:rsidR="00FC693F" w:rsidRPr="0006063C" w:rsidSect="00034616">
      <w:footerReference w:type="default" r:id="rId9"/>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62"/>
        <w:sz w:val="16"/>
      </w:rPr>
      <w:t>Borrador v4 · 18 de septiembre de 2026 · ClavaMetrics · Documento de trabajo, no firmar sin revisión letrada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41C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4F26"/>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4F26"/>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41C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Abogada">
    <w:name w:val="NotaAbogada"/>
    <w:basedOn w:val="Normal"/>
    <w:pPr>
      <w:spacing w:before="80" w:after="200"/>
      <w:ind w:left="454"/>
    </w:pPr>
    <w:rPr>
      <w:i/>
      <w:color w:val="5C6B6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