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d5ql8qn7jek7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📑 Documento de Casos de Uso - Conversor de Moedas Java (CLI)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documento descreve os casos de uso da aplicação </w:t>
      </w:r>
      <w:r w:rsidDel="00000000" w:rsidR="00000000" w:rsidRPr="00000000">
        <w:rPr>
          <w:b w:val="1"/>
          <w:color w:val="1b1c1d"/>
          <w:rtl w:val="0"/>
        </w:rPr>
        <w:t xml:space="preserve">Conversor de Moedas Java</w:t>
      </w:r>
      <w:r w:rsidDel="00000000" w:rsidR="00000000" w:rsidRPr="00000000">
        <w:rPr>
          <w:color w:val="1b1c1d"/>
          <w:rtl w:val="0"/>
        </w:rPr>
        <w:t xml:space="preserve">, uma interface de linha de comando (CLI) que converte valores monetários utilizando uma API externa de cotações.</w:t>
      </w:r>
    </w:p>
    <w:p w:rsidR="00000000" w:rsidDel="00000000" w:rsidP="00000000" w:rsidRDefault="00000000" w:rsidRPr="00000000" w14:paraId="0000000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3k9jxclo8ab3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Tabela de Casos de Uso</w:t>
      </w:r>
    </w:p>
    <w:tbl>
      <w:tblPr>
        <w:tblStyle w:val="Table1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3930"/>
        <w:gridCol w:w="1215"/>
        <w:tblGridChange w:id="0">
          <w:tblGrid>
            <w:gridCol w:w="1140"/>
            <w:gridCol w:w="3930"/>
            <w:gridCol w:w="12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Caso de Uso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CU001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Realizar Conversão de Moedas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Usuário</w:t>
            </w:r>
          </w:p>
        </w:tc>
      </w:tr>
    </w:tbl>
    <w:p w:rsidR="00000000" w:rsidDel="00000000" w:rsidP="00000000" w:rsidRDefault="00000000" w:rsidRPr="00000000" w14:paraId="0000000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gsm724kzt362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Especificação Detalhada do Caso de Uso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zhj6j53v2820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2.1. CU001: Realizar Conversão de Moedas</w:t>
      </w:r>
    </w:p>
    <w:tbl>
      <w:tblPr>
        <w:tblStyle w:val="Table2"/>
        <w:tblW w:w="9090.0" w:type="dxa"/>
        <w:jc w:val="left"/>
        <w:tblInd w:w="-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7050"/>
        <w:tblGridChange w:id="0">
          <w:tblGrid>
            <w:gridCol w:w="2040"/>
            <w:gridCol w:w="70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Usuário deseja obter o valor equivalente a um montante em uma moeda diferente, utilizando taxas de câmbio em tempo real obtidas de uma API externa.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* O ambiente de execução Java (JDK) deve estar instalado e configurado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RNF2.1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* A aplicação deve estar compilada e pronta para ser executada no console.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* O sistema deve ter conectividade com a internet para acessar a API externa.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* O valor convertido é exibido no console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RF4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* O sistema retorna ao estado inicial, pronto para uma nova operação ou encerra a execução (dependendo da implementação).</w:t>
            </w:r>
          </w:p>
        </w:tc>
      </w:tr>
      <w:tr>
        <w:trPr>
          <w:cantSplit w:val="0"/>
          <w:trHeight w:val="620.9252929687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Gatilho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Usuário inicia a aplicação CLI.</w:t>
            </w:r>
          </w:p>
        </w:tc>
      </w:tr>
    </w:tbl>
    <w:p w:rsidR="00000000" w:rsidDel="00000000" w:rsidP="00000000" w:rsidRDefault="00000000" w:rsidRPr="00000000" w14:paraId="0000001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z1uzmg6s3csm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2.2. Fluxo Principal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490"/>
        <w:gridCol w:w="5235"/>
        <w:tblGridChange w:id="0">
          <w:tblGrid>
            <w:gridCol w:w="1095"/>
            <w:gridCol w:w="2490"/>
            <w:gridCol w:w="52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Ação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Solicita</w:t>
            </w:r>
            <w:r w:rsidDel="00000000" w:rsidR="00000000" w:rsidRPr="00000000">
              <w:rPr>
                <w:color w:val="1b1c1d"/>
                <w:rtl w:val="0"/>
              </w:rPr>
              <w:t xml:space="preserve"> a entrada do valor a ser convertido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RF1.1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Insere</w:t>
            </w:r>
            <w:r w:rsidDel="00000000" w:rsidR="00000000" w:rsidRPr="00000000">
              <w:rPr>
                <w:color w:val="1b1c1d"/>
                <w:rtl w:val="0"/>
              </w:rPr>
              <w:t xml:space="preserve"> o valor numérico (ex: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100.00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Solicita</w:t>
            </w:r>
            <w:r w:rsidDel="00000000" w:rsidR="00000000" w:rsidRPr="00000000">
              <w:rPr>
                <w:color w:val="1b1c1d"/>
                <w:rtl w:val="0"/>
              </w:rPr>
              <w:t xml:space="preserve"> a entrada do código da moeda de origem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RF1.2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Insere</w:t>
            </w:r>
            <w:r w:rsidDel="00000000" w:rsidR="00000000" w:rsidRPr="00000000">
              <w:rPr>
                <w:color w:val="1b1c1d"/>
                <w:rtl w:val="0"/>
              </w:rPr>
              <w:t xml:space="preserve"> a moeda de origem (ex: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BRL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Solicita</w:t>
            </w:r>
            <w:r w:rsidDel="00000000" w:rsidR="00000000" w:rsidRPr="00000000">
              <w:rPr>
                <w:color w:val="1b1c1d"/>
                <w:rtl w:val="0"/>
              </w:rPr>
              <w:t xml:space="preserve"> a entrada do código da moeda de destino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RF1.3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Insere</w:t>
            </w:r>
            <w:r w:rsidDel="00000000" w:rsidR="00000000" w:rsidRPr="00000000">
              <w:rPr>
                <w:color w:val="1b1c1d"/>
                <w:rtl w:val="0"/>
              </w:rPr>
              <w:t xml:space="preserve"> a moeda de destino (ex: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USD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Constrói</w:t>
            </w:r>
            <w:r w:rsidDel="00000000" w:rsidR="00000000" w:rsidRPr="00000000">
              <w:rPr>
                <w:color w:val="1b1c1d"/>
                <w:rtl w:val="0"/>
              </w:rPr>
              <w:t xml:space="preserve"> a URL da requisição GET, incluindo as moedas de origem e destino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RF2.2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Realiza</w:t>
            </w:r>
            <w:r w:rsidDel="00000000" w:rsidR="00000000" w:rsidRPr="00000000">
              <w:rPr>
                <w:color w:val="1b1c1d"/>
                <w:rtl w:val="0"/>
              </w:rPr>
              <w:t xml:space="preserve"> a requisição à API externa de cotação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RF2.1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RNF3.1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Processa</w:t>
            </w:r>
            <w:r w:rsidDel="00000000" w:rsidR="00000000" w:rsidRPr="00000000">
              <w:rPr>
                <w:color w:val="1b1c1d"/>
                <w:rtl w:val="0"/>
              </w:rPr>
              <w:t xml:space="preserve"> a resposta JSON da API e extrai a taxa de câmbio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RF2.3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Calcula</w:t>
            </w:r>
            <w:r w:rsidDel="00000000" w:rsidR="00000000" w:rsidRPr="00000000">
              <w:rPr>
                <w:color w:val="1b1c1d"/>
                <w:rtl w:val="0"/>
              </w:rPr>
              <w:t xml:space="preserve"> o valor convertido: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Valor Convertido} = Valor Original X Taxa de Câmbio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RF3.1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Exibe</w:t>
            </w:r>
            <w:r w:rsidDel="00000000" w:rsidR="00000000" w:rsidRPr="00000000">
              <w:rPr>
                <w:color w:val="1b1c1d"/>
                <w:rtl w:val="0"/>
              </w:rPr>
              <w:t xml:space="preserve"> o resultado da conversão formatado no console (ex: "100.00 BRL equivalem a 19.50 USD")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RF4.1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RF4.2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Fim do Caso de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rsrglguglig0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2.3. Fluxos de Exceção</w:t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620"/>
        <w:gridCol w:w="2955"/>
        <w:gridCol w:w="3390"/>
        <w:tblGridChange w:id="0">
          <w:tblGrid>
            <w:gridCol w:w="840"/>
            <w:gridCol w:w="1620"/>
            <w:gridCol w:w="2955"/>
            <w:gridCol w:w="339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Passo do 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Ação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valor inserido pelo Usuário não é um número válido.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FE1.1:</w:t>
            </w:r>
            <w:r w:rsidDel="00000000" w:rsidR="00000000" w:rsidRPr="00000000">
              <w:rPr>
                <w:color w:val="1b1c1d"/>
                <w:rtl w:val="0"/>
              </w:rPr>
              <w:t xml:space="preserve"> Exibe a mensagem de erro: "Erro: O valor inserido não é um número válido."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RF5.1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FE1.2:</w:t>
            </w:r>
            <w:r w:rsidDel="00000000" w:rsidR="00000000" w:rsidRPr="00000000">
              <w:rPr>
                <w:color w:val="1b1c1d"/>
                <w:rtl w:val="0"/>
              </w:rPr>
              <w:t xml:space="preserve"> Retorna ao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Passo 1</w:t>
            </w:r>
            <w:r w:rsidDel="00000000" w:rsidR="00000000" w:rsidRPr="00000000">
              <w:rPr>
                <w:color w:val="1b1c1d"/>
                <w:rtl w:val="0"/>
              </w:rPr>
              <w:t xml:space="preserve"> do Fluxo Principal (solicitar valor)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RF5.1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API de cotação retorna um erro (ex: códigos de moeda não reconhecidos, chave de API inválida).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FE2.1:</w:t>
            </w:r>
            <w:r w:rsidDel="00000000" w:rsidR="00000000" w:rsidRPr="00000000">
              <w:rPr>
                <w:color w:val="1b1c1d"/>
                <w:rtl w:val="0"/>
              </w:rPr>
              <w:t xml:space="preserve"> Exibe uma mensagem de erro: "Erro: Os códigos de moeda não foram reconhecidos. Verifique sua entrada."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RF5.2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FE2.2:</w:t>
            </w:r>
            <w:r w:rsidDel="00000000" w:rsidR="00000000" w:rsidRPr="00000000">
              <w:rPr>
                <w:color w:val="1b1c1d"/>
                <w:rtl w:val="0"/>
              </w:rPr>
              <w:t xml:space="preserve"> Retorna ao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Passo 3</w:t>
            </w:r>
            <w:r w:rsidDel="00000000" w:rsidR="00000000" w:rsidRPr="00000000">
              <w:rPr>
                <w:color w:val="1b1c1d"/>
                <w:rtl w:val="0"/>
              </w:rPr>
              <w:t xml:space="preserve"> (solicitar moeda de origem) ou encerra a aplicação, dependendo da política de erro.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Ocorre uma falha de comunicação (ex: erro de rede, API indisponível).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FE3.1:</w:t>
            </w:r>
            <w:r w:rsidDel="00000000" w:rsidR="00000000" w:rsidRPr="00000000">
              <w:rPr>
                <w:color w:val="1b1c1d"/>
                <w:rtl w:val="0"/>
              </w:rPr>
              <w:t xml:space="preserve"> Exibe uma mensagem de erro genérica: "Erro de comunicação: Falha ao conectar com o serviço externo de cotação."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RF5.3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FE3.2:</w:t>
            </w:r>
            <w:r w:rsidDel="00000000" w:rsidR="00000000" w:rsidRPr="00000000">
              <w:rPr>
                <w:color w:val="1b1c1d"/>
                <w:rtl w:val="0"/>
              </w:rPr>
              <w:t xml:space="preserve"> Encerra a execução da aplicação.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formato de resposta da API não é o esperado (JSON malformado, etc.).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FE4.1:</w:t>
            </w:r>
            <w:r w:rsidDel="00000000" w:rsidR="00000000" w:rsidRPr="00000000">
              <w:rPr>
                <w:color w:val="1b1c1d"/>
                <w:rtl w:val="0"/>
              </w:rPr>
              <w:t xml:space="preserve"> Exibe a mensagem de erro: "Erro: O formato de dados da API está incorreto. Não foi possível processar a cotação."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FE4.2:</w:t>
            </w:r>
            <w:r w:rsidDel="00000000" w:rsidR="00000000" w:rsidRPr="00000000">
              <w:rPr>
                <w:color w:val="1b1c1d"/>
                <w:rtl w:val="0"/>
              </w:rPr>
              <w:t xml:space="preserve"> Encerra a execução da aplicação.</w:t>
            </w:r>
          </w:p>
        </w:tc>
      </w:tr>
    </w:tbl>
    <w:p w:rsidR="00000000" w:rsidDel="00000000" w:rsidP="00000000" w:rsidRDefault="00000000" w:rsidRPr="00000000" w14:paraId="0000006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u91hxl4c4ybc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Requisitos Relacionados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RF1.1, RF1.2, RF1.3:</w:t>
      </w:r>
      <w:r w:rsidDel="00000000" w:rsidR="00000000" w:rsidRPr="00000000">
        <w:rPr>
          <w:color w:val="1b1c1d"/>
          <w:rtl w:val="0"/>
        </w:rPr>
        <w:t xml:space="preserve"> Governam a entrada de dados do Usuário (Passos 1, 3, 5).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RF2.1, RF2.2, RF2.3:</w:t>
      </w:r>
      <w:r w:rsidDel="00000000" w:rsidR="00000000" w:rsidRPr="00000000">
        <w:rPr>
          <w:color w:val="1b1c1d"/>
          <w:rtl w:val="0"/>
        </w:rPr>
        <w:t xml:space="preserve"> Governam a interação com a API (Passos 7, 8, 9).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RF3.1:</w:t>
      </w:r>
      <w:r w:rsidDel="00000000" w:rsidR="00000000" w:rsidRPr="00000000">
        <w:rPr>
          <w:color w:val="1b1c1d"/>
          <w:rtl w:val="0"/>
        </w:rPr>
        <w:t xml:space="preserve"> Define a lógica de conversão (Passo 10).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RF4.1, RF4.2:</w:t>
      </w:r>
      <w:r w:rsidDel="00000000" w:rsidR="00000000" w:rsidRPr="00000000">
        <w:rPr>
          <w:color w:val="1b1c1d"/>
          <w:rtl w:val="0"/>
        </w:rPr>
        <w:t xml:space="preserve"> Definem a saída de dados (Passo 11).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RF5.1, RF5.2, RF5.3:</w:t>
      </w:r>
      <w:r w:rsidDel="00000000" w:rsidR="00000000" w:rsidRPr="00000000">
        <w:rPr>
          <w:color w:val="1b1c1d"/>
          <w:rtl w:val="0"/>
        </w:rPr>
        <w:t xml:space="preserve"> Mapeiam para os Fluxos de Exceção FE1, FE2, e FE3.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RNF1.1:</w:t>
      </w:r>
      <w:r w:rsidDel="00000000" w:rsidR="00000000" w:rsidRPr="00000000">
        <w:rPr>
          <w:color w:val="1b1c1d"/>
          <w:rtl w:val="0"/>
        </w:rPr>
        <w:t xml:space="preserve"> Restringe o tempo de execução dos Passos 2 ao 11 a menos de 3 segundos (Desempenho).</w:t>
      </w:r>
    </w:p>
    <w:p w:rsidR="00000000" w:rsidDel="00000000" w:rsidP="00000000" w:rsidRDefault="00000000" w:rsidRPr="00000000" w14:paraId="0000006E">
      <w:pPr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