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b/>
          <w:color w:val="2C3E50"/>
          <w:sz w:val="24"/>
        </w:rPr>
        <w:t>INSTITUTO SUPERIOR DE ENGENHARIA / UNIVERSIDADE DE TECNOLOGIA</w:t>
        <w:br/>
        <w:t>DEPARTAMENTO DE ENGENHARIA DE SOFTWARE E SISTEMAS DE INFORMAÇÃO</w:t>
      </w:r>
    </w:p>
    <w:p>
      <w:pPr>
        <w:spacing w:before="1200"/>
      </w:pPr>
    </w:p>
    <w:p>
      <w:pPr>
        <w:jc w:val="center"/>
      </w:pPr>
      <w:r>
        <w:rPr>
          <w:b/>
          <w:color w:val="19528D"/>
          <w:sz w:val="40"/>
        </w:rPr>
        <w:t>NANOPAINTHUB: PLATAFORMA INTEGRADA DE GESTÃO DE DADOS DE PRODUTO E GERAÇÃO MULTI-MOTOR DE FICHAS TÉCNICAS (TDS) E FICHAS DE SEGURANÇA (SDS)</w:t>
      </w:r>
    </w:p>
    <w:p>
      <w:pPr>
        <w:jc w:val="center"/>
      </w:pPr>
      <w:r>
        <w:rPr>
          <w:i/>
          <w:color w:val="2C3E50"/>
          <w:sz w:val="26"/>
        </w:rPr>
        <w:t>Arquitetura em Camadas, Motores Híbridos de PDF, Auditoria Multi-Agente e Conformidade REACH/CLP no Ecossistema .NET 9 e WinUI 3</w:t>
      </w:r>
    </w:p>
    <w:p>
      <w:pPr>
        <w:spacing w:before="2000"/>
      </w:pPr>
    </w:p>
    <w:p>
      <w:pPr>
        <w:jc w:val="center"/>
      </w:pPr>
      <w:r>
        <w:rPr>
          <w:b/>
          <w:sz w:val="24"/>
        </w:rPr>
        <w:t>Relatório de Apresentação Final de Curso</w:t>
        <w:br/>
        <w:t>Licenciatura / Mestrado em Engenharia de Software</w:t>
      </w:r>
    </w:p>
    <w:p>
      <w:pPr>
        <w:spacing w:before="1600"/>
      </w:pPr>
    </w:p>
    <w:p>
      <w:pPr>
        <w:jc w:val="center"/>
      </w:pPr>
      <w:r>
        <w:rPr>
          <w:sz w:val="22"/>
        </w:rPr>
        <w:t>Portugal, 2026</w:t>
      </w:r>
    </w:p>
    <w:p>
      <w:r>
        <w:br w:type="page"/>
      </w:r>
    </w:p>
    <w:p>
      <w:pPr>
        <w:keepNext/>
        <w:spacing w:before="360" w:after="160"/>
      </w:pPr>
      <w:r>
        <w:rPr>
          <w:b/>
          <w:color w:val="19528D"/>
          <w:sz w:val="32"/>
        </w:rPr>
        <w:t>RESUMO</w:t>
      </w:r>
    </w:p>
    <w:p>
      <w:pPr>
        <w:jc w:val="both"/>
      </w:pPr>
      <w:r>
        <w:t>Este relatório final de curso apresenta a conceção, arquitetura e implementação da plataforma NanopaintHub, uma solução empresarial desktop desenvolvida sob o ecossistema .NET 9 e Windows App SDK (WinUI 3) para a gestão avançada de dados de produtos químicos, revestimentos nanoestruturados e sensores impressos. A plataforma resolve o desafio crítico da geração automatizada e determinística de Fichas Técnicas (TDS - Technical Data Sheets) e Fichas de Segurança (SDS - Safety Data Sheets) sob as diretivas europeias REACH (Regulamento CE n.º 1907/2006) e CLP (Regulamento CE n.º 1272/2008). Através de uma arquitetura limpa em camadas (Clean Architecture) com desacoplamento rigoroso entre domínio, infraestrutura e interface, o sistema integra um roteador dinâmico de PDF (Strategy Pattern) capaz de alternar entre compilação nativa em memória com QuestPDF, processamento HTML5 via iText7 pdfHTML e renderização Chromium com PuppeteerSharp. Adicionalmente, implementa-se um motor de gráficos SVG nativos em C# para curvas de sensibilidade, linearidade e histerese de sensores, um editor visual de blocos baseado em TinyMCE e um protocolo rigoroso de auditoria multi-agente e limpeza de código morto. O sistema demonstrou tempos de resposta inferiores a 120ms para documentos complexos com 0 erros nos 32 testes unitários de integração.</w:t>
      </w:r>
    </w:p>
    <w:p>
      <w:r>
        <w:t>Palavras-Chave: NanopaintHub, WinUI 3, .NET 9, QuestPDF, REACH/CLP, SDS, TDS, Clean Architecture, Strategy Pattern.</w:t>
      </w:r>
    </w:p>
    <w:p>
      <w:pPr>
        <w:keepNext/>
        <w:spacing w:before="360" w:after="160"/>
      </w:pPr>
      <w:r>
        <w:rPr>
          <w:b/>
          <w:color w:val="19528D"/>
          <w:sz w:val="32"/>
        </w:rPr>
        <w:t>ABSTRACT</w:t>
      </w:r>
    </w:p>
    <w:p>
      <w:pPr>
        <w:jc w:val="both"/>
      </w:pPr>
      <w:r>
        <w:t>This final graduation report presents the design, architecture, and implementation of the NanopaintHub platform, an enterprise desktop application engineered within the .NET 9 ecosystem and Windows App SDK (WinUI 3) for advanced data management of chemical products, nanostructured coatings, and printed sensors. The platform addresses the critical challenge of automated, deterministic generation of Technical Data Sheets (TDS) and Safety Data Sheets (SDS) in full compliance with European REACH (Regulation EC No 1907/2006) and CLP (Regulation EC No 1272/2008) frameworks. Operating over a layered Clean Architecture ensuring decoupled separation between domain, infrastructure, and presentation, the system features a dynamic multi-engine PDF router utilizing the Strategy Pattern to dynamically switch between native in-memory rendering via QuestPDF, HTML5 processing via iText7 pdfHTML, and headless Chromium execution via PuppeteerSharp. Furthermore, native C# SVG chart rendering engines for sensor hysteresis, linearity, and sensitivity loading curves were developed alongside a TinyMCE block editor and a multi-agent audit protocol. The platform achieved document generation throughput under 120ms with 100% test pass rate across 32 unit integration tests.</w:t>
      </w:r>
    </w:p>
    <w:p>
      <w:r>
        <w:t>Keywords: NanopaintHub, WinUI 3, .NET 9, QuestPDF, REACH/CLP, SDS, TDS, Clean Architecture, Multi-Engine PDF Router.</w:t>
      </w:r>
    </w:p>
    <w:p>
      <w:r>
        <w:br w:type="page"/>
      </w:r>
    </w:p>
    <w:p>
      <w:pPr>
        <w:keepNext/>
        <w:spacing w:before="360" w:after="160"/>
      </w:pPr>
      <w:r>
        <w:rPr>
          <w:b/>
          <w:color w:val="19528D"/>
          <w:sz w:val="32"/>
        </w:rPr>
        <w:t>ÍNDICE GERAL</w:t>
      </w:r>
    </w:p>
    <w:p>
      <w:pPr>
        <w:spacing w:after="40"/>
      </w:pPr>
      <w:r>
        <w:rPr>
          <w:sz w:val="20"/>
        </w:rPr>
        <w:t>RESUMO &amp; ABSTRACT</w:t>
      </w:r>
      <w:r>
        <w:rPr>
          <w:color w:val="94A3B8"/>
          <w:sz w:val="20"/>
        </w:rPr>
        <w:t xml:space="preserve">  . . . . . . . . . . . . . . . . . . . . . . . . . . . . . . . . . . . . . . . . . . . . . . . . . . . .  2</w:t>
      </w:r>
    </w:p>
    <w:p>
      <w:pPr>
        <w:spacing w:after="40"/>
      </w:pPr>
      <w:r>
        <w:rPr>
          <w:sz w:val="20"/>
        </w:rPr>
        <w:t>ÍNDICE GERAL &amp; LISTA DE ABREVIATURAS</w:t>
      </w:r>
      <w:r>
        <w:rPr>
          <w:color w:val="94A3B8"/>
          <w:sz w:val="20"/>
        </w:rPr>
        <w:t xml:space="preserve">  . . . . . . . . . . . . . . . . . . . . . . . . . . . . . . . . . . . . . . . . . . . . . . . . . . . .  3</w:t>
      </w:r>
    </w:p>
    <w:p>
      <w:pPr>
        <w:spacing w:after="40"/>
      </w:pPr>
      <w:r>
        <w:rPr>
          <w:sz w:val="20"/>
        </w:rPr>
        <w:t>CAPÍTULO 1: INTRODUÇÃO E ENQUADRAMENTO INDUSTRIAL</w:t>
      </w:r>
      <w:r>
        <w:rPr>
          <w:color w:val="94A3B8"/>
          <w:sz w:val="20"/>
        </w:rPr>
        <w:t xml:space="preserve">  . . . . . . . . . . . . . . . . . . . . . . . . . . . . . . . . . . . . . . . . . . . . . . . . . . . .  4</w:t>
      </w:r>
    </w:p>
    <w:p>
      <w:pPr>
        <w:spacing w:after="40"/>
      </w:pPr>
      <w:r>
        <w:rPr>
          <w:sz w:val="20"/>
        </w:rPr>
        <w:t xml:space="preserve">  1.1 Contexto e Motivação na Indústria de Revestimentos</w:t>
      </w:r>
      <w:r>
        <w:rPr>
          <w:color w:val="94A3B8"/>
          <w:sz w:val="20"/>
        </w:rPr>
        <w:t xml:space="preserve">  . . . . . . . . . . . . . . . . . . . . . . . . . . . . . . . . . . . . . . . . . . . . . . . . . . . .  4</w:t>
      </w:r>
    </w:p>
    <w:p>
      <w:pPr>
        <w:spacing w:after="40"/>
      </w:pPr>
      <w:r>
        <w:rPr>
          <w:sz w:val="20"/>
        </w:rPr>
        <w:t xml:space="preserve">  1.2 Problemas Identificados nas Soluções Tradicionais</w:t>
      </w:r>
      <w:r>
        <w:rPr>
          <w:color w:val="94A3B8"/>
          <w:sz w:val="20"/>
        </w:rPr>
        <w:t xml:space="preserve">  . . . . . . . . . . . . . . . . . . . . . . . . . . . . . . . . . . . . . . . . . . . . . . . . . . . .  5</w:t>
      </w:r>
    </w:p>
    <w:p>
      <w:pPr>
        <w:spacing w:after="40"/>
      </w:pPr>
      <w:r>
        <w:rPr>
          <w:sz w:val="20"/>
        </w:rPr>
        <w:t xml:space="preserve">  1.3 Objetivos Gerais e Específicos do Projeto</w:t>
      </w:r>
      <w:r>
        <w:rPr>
          <w:color w:val="94A3B8"/>
          <w:sz w:val="20"/>
        </w:rPr>
        <w:t xml:space="preserve">  . . . . . . . . . . . . . . . . . . . . . . . . . . . . . . . . . . . . . . . . . . . . . . . . . . . .  6</w:t>
      </w:r>
    </w:p>
    <w:p>
      <w:pPr>
        <w:spacing w:after="40"/>
      </w:pPr>
      <w:r>
        <w:rPr>
          <w:sz w:val="20"/>
        </w:rPr>
        <w:t xml:space="preserve">  1.4 Estrutura do Relatório</w:t>
      </w:r>
      <w:r>
        <w:rPr>
          <w:color w:val="94A3B8"/>
          <w:sz w:val="20"/>
        </w:rPr>
        <w:t xml:space="preserve">  . . . . . . . . . . . . . . . . . . . . . . . . . . . . . . . . . . . . . . . . . . . . . . . . . . . .  7</w:t>
      </w:r>
    </w:p>
    <w:p>
      <w:pPr>
        <w:spacing w:after="40"/>
      </w:pPr>
      <w:r>
        <w:rPr>
          <w:sz w:val="20"/>
        </w:rPr>
        <w:t>CAPÍTULO 2: ESTADO DA ARTE E FUNDAMENTAÇÃO TEÓRICA</w:t>
      </w:r>
      <w:r>
        <w:rPr>
          <w:color w:val="94A3B8"/>
          <w:sz w:val="20"/>
        </w:rPr>
        <w:t xml:space="preserve">  . . . . . . . . . . . . . . . . . . . . . . . . . . . . . . . . . . . . . . . . . . . . . . . . . . . .  8</w:t>
      </w:r>
    </w:p>
    <w:p>
      <w:pPr>
        <w:spacing w:after="40"/>
      </w:pPr>
      <w:r>
        <w:rPr>
          <w:sz w:val="20"/>
        </w:rPr>
        <w:t xml:space="preserve">  2.1 Tecnologias de Geração de Documentos PDF (.NET 9)</w:t>
      </w:r>
      <w:r>
        <w:rPr>
          <w:color w:val="94A3B8"/>
          <w:sz w:val="20"/>
        </w:rPr>
        <w:t xml:space="preserve">  . . . . . . . . . . . . . . . . . . . . . . . . . . . . . . . . . . . . . . . . . . . . . . . . . . . .  8</w:t>
      </w:r>
    </w:p>
    <w:p>
      <w:pPr>
        <w:spacing w:after="40"/>
      </w:pPr>
      <w:r>
        <w:rPr>
          <w:sz w:val="20"/>
        </w:rPr>
        <w:t xml:space="preserve">  2.2 Regulamentação Europeia de Fichas de Segurança (REACH &amp; CLP)</w:t>
      </w:r>
      <w:r>
        <w:rPr>
          <w:color w:val="94A3B8"/>
          <w:sz w:val="20"/>
        </w:rPr>
        <w:t xml:space="preserve">  . . . . . . . . . . . . . . . . . . . . . . . . . . . . . . . . . . . . . . . . . . . . . . . . . . . .  10</w:t>
      </w:r>
    </w:p>
    <w:p>
      <w:pPr>
        <w:spacing w:after="40"/>
      </w:pPr>
      <w:r>
        <w:rPr>
          <w:sz w:val="20"/>
        </w:rPr>
        <w:t xml:space="preserve">  2.3 Padrões de Arquitetura de Software: Clean Architecture &amp; Strategy</w:t>
      </w:r>
      <w:r>
        <w:rPr>
          <w:color w:val="94A3B8"/>
          <w:sz w:val="20"/>
        </w:rPr>
        <w:t xml:space="preserve">  . . . . . . . . . . . . . . . . . . . . . . . . . . . . . . . . . . . . . . . . . . . . . . . . . . . .  11</w:t>
      </w:r>
    </w:p>
    <w:p>
      <w:pPr>
        <w:spacing w:after="40"/>
      </w:pPr>
      <w:r>
        <w:rPr>
          <w:sz w:val="20"/>
        </w:rPr>
        <w:t xml:space="preserve">  2.4 Interface de Utilizador: WinUI 3 e Fluent Design System</w:t>
      </w:r>
      <w:r>
        <w:rPr>
          <w:color w:val="94A3B8"/>
          <w:sz w:val="20"/>
        </w:rPr>
        <w:t xml:space="preserve">  . . . . . . . . . . . . . . . . . . . . . . . . . . . . . . . . . . . . . . . . . . . . . . . . . . . .  12</w:t>
      </w:r>
    </w:p>
    <w:p>
      <w:pPr>
        <w:spacing w:after="40"/>
      </w:pPr>
      <w:r>
        <w:rPr>
          <w:sz w:val="20"/>
        </w:rPr>
        <w:t>CAPÍTULO 3: ARQUITETURA GLOBAL DA SOLUÇÃO NANOPAINTHUB</w:t>
      </w:r>
      <w:r>
        <w:rPr>
          <w:color w:val="94A3B8"/>
          <w:sz w:val="20"/>
        </w:rPr>
        <w:t xml:space="preserve">  . . . . . . . . . . . . . . . . . . . . . . . . . . . . . . . . . . . . . . . . . . . . . . . . . . . .  13</w:t>
      </w:r>
    </w:p>
    <w:p>
      <w:pPr>
        <w:spacing w:after="40"/>
      </w:pPr>
      <w:r>
        <w:rPr>
          <w:sz w:val="20"/>
        </w:rPr>
        <w:t xml:space="preserve">  3.1 Organização Modular em Camadas</w:t>
      </w:r>
      <w:r>
        <w:rPr>
          <w:color w:val="94A3B8"/>
          <w:sz w:val="20"/>
        </w:rPr>
        <w:t xml:space="preserve">  . . . . . . . . . . . . . . . . . . . . . . . . . . . . . . . . . . . . . . . . . . . . . . . . . . . .  13</w:t>
      </w:r>
    </w:p>
    <w:p>
      <w:pPr>
        <w:spacing w:after="40"/>
      </w:pPr>
      <w:r>
        <w:rPr>
          <w:sz w:val="20"/>
        </w:rPr>
        <w:t xml:space="preserve">  3.2 Camada de Domínio (NanopaintHub.Domain)</w:t>
      </w:r>
      <w:r>
        <w:rPr>
          <w:color w:val="94A3B8"/>
          <w:sz w:val="20"/>
        </w:rPr>
        <w:t xml:space="preserve">  . . . . . . . . . . . . . . . . . . . . . . . . . . . . . . . . . . . . . . . . . . . . . . . . . . . .  14</w:t>
      </w:r>
    </w:p>
    <w:p>
      <w:pPr>
        <w:spacing w:after="40"/>
      </w:pPr>
      <w:r>
        <w:rPr>
          <w:sz w:val="20"/>
        </w:rPr>
        <w:t xml:space="preserve">  3.3 Camada de Aplicação (NanopaintHub.Application)</w:t>
      </w:r>
      <w:r>
        <w:rPr>
          <w:color w:val="94A3B8"/>
          <w:sz w:val="20"/>
        </w:rPr>
        <w:t xml:space="preserve">  . . . . . . . . . . . . . . . . . . . . . . . . . . . . . . . . . . . . . . . . . . . . . . . . . . . .  15</w:t>
      </w:r>
    </w:p>
    <w:p>
      <w:pPr>
        <w:spacing w:after="40"/>
      </w:pPr>
      <w:r>
        <w:rPr>
          <w:sz w:val="20"/>
        </w:rPr>
        <w:t xml:space="preserve">  3.4 Camada de Dados Locais (NanopaintHub.Infrastructure.LocalData)</w:t>
      </w:r>
      <w:r>
        <w:rPr>
          <w:color w:val="94A3B8"/>
          <w:sz w:val="20"/>
        </w:rPr>
        <w:t xml:space="preserve">  . . . . . . . . . . . . . . . . . . . . . . . . . . . . . . . . . . . . . . . . . . . . . . . . . . . .  16</w:t>
      </w:r>
    </w:p>
    <w:p>
      <w:pPr>
        <w:spacing w:after="40"/>
      </w:pPr>
      <w:r>
        <w:rPr>
          <w:sz w:val="20"/>
        </w:rPr>
        <w:t xml:space="preserve">  3.5 Camada de Documentos (NanopaintHub.Infrastructure.Documents)</w:t>
      </w:r>
      <w:r>
        <w:rPr>
          <w:color w:val="94A3B8"/>
          <w:sz w:val="20"/>
        </w:rPr>
        <w:t xml:space="preserve">  . . . . . . . . . . . . . . . . . . . . . . . . . . . . . . . . . . . . . . . . . . . . . . . . . . . .  17</w:t>
      </w:r>
    </w:p>
    <w:p>
      <w:pPr>
        <w:spacing w:after="40"/>
      </w:pPr>
      <w:r>
        <w:rPr>
          <w:sz w:val="20"/>
        </w:rPr>
        <w:t xml:space="preserve">  3.6 Cliente de Interface WinUI 3 (NanopaintHub.WinUIClient)</w:t>
      </w:r>
      <w:r>
        <w:rPr>
          <w:color w:val="94A3B8"/>
          <w:sz w:val="20"/>
        </w:rPr>
        <w:t xml:space="preserve">  . . . . . . . . . . . . . . . . . . . . . . . . . . . . . . . . . . . . . . . . . . . . . . . . . . . .  18</w:t>
      </w:r>
    </w:p>
    <w:p>
      <w:pPr>
        <w:spacing w:after="40"/>
      </w:pPr>
      <w:r>
        <w:rPr>
          <w:sz w:val="20"/>
        </w:rPr>
        <w:t>CAPÍTULO 4: MÓDULOS PRINCIPAIS E IMPLEMENTAÇÃO TÉCNICA</w:t>
      </w:r>
      <w:r>
        <w:rPr>
          <w:color w:val="94A3B8"/>
          <w:sz w:val="20"/>
        </w:rPr>
        <w:t xml:space="preserve">  . . . . . . . . . . . . . . . . . . . . . . . . . . . . . . . . . . . . . . . . . . . . . . . . . . . .  19</w:t>
      </w:r>
    </w:p>
    <w:p>
      <w:pPr>
        <w:spacing w:after="40"/>
      </w:pPr>
      <w:r>
        <w:rPr>
          <w:sz w:val="20"/>
        </w:rPr>
        <w:t xml:space="preserve">  4.1 Motor Multi-Engine de PDF (QuestPDF, iText7, Puppeteer)</w:t>
      </w:r>
      <w:r>
        <w:rPr>
          <w:color w:val="94A3B8"/>
          <w:sz w:val="20"/>
        </w:rPr>
        <w:t xml:space="preserve">  . . . . . . . . . . . . . . . . . . . . . . . . . . . . . . . . . . . . . . . . . . . . . . . . . . . .  19</w:t>
      </w:r>
    </w:p>
    <w:p>
      <w:pPr>
        <w:spacing w:after="40"/>
      </w:pPr>
      <w:r>
        <w:rPr>
          <w:sz w:val="20"/>
        </w:rPr>
        <w:t xml:space="preserve">  4.2 Gestão de Sensores, Gráficos SVG e Importação CSV/TSV</w:t>
      </w:r>
      <w:r>
        <w:rPr>
          <w:color w:val="94A3B8"/>
          <w:sz w:val="20"/>
        </w:rPr>
        <w:t xml:space="preserve">  . . . . . . . . . . . . . . . . . . . . . . . . . . . . . . . . . . . . . . . . . . . . . . . . . . . .  21</w:t>
      </w:r>
    </w:p>
    <w:p>
      <w:pPr>
        <w:spacing w:after="40"/>
      </w:pPr>
      <w:r>
        <w:rPr>
          <w:sz w:val="20"/>
        </w:rPr>
        <w:t xml:space="preserve">  4.3 Editor de Templates e Integração do TinyMCE Block Builder</w:t>
      </w:r>
      <w:r>
        <w:rPr>
          <w:color w:val="94A3B8"/>
          <w:sz w:val="20"/>
        </w:rPr>
        <w:t xml:space="preserve">  . . . . . . . . . . . . . . . . . . . . . . . . . . . . . . . . . . . . . . . . . . . . . . . . . . . .  23</w:t>
      </w:r>
    </w:p>
    <w:p>
      <w:pPr>
        <w:spacing w:after="40"/>
      </w:pPr>
      <w:r>
        <w:rPr>
          <w:sz w:val="20"/>
        </w:rPr>
        <w:t xml:space="preserve">  4.4 Módulo de Segurança SDS e Diagnóstico ECHA / EF Core</w:t>
      </w:r>
      <w:r>
        <w:rPr>
          <w:color w:val="94A3B8"/>
          <w:sz w:val="20"/>
        </w:rPr>
        <w:t xml:space="preserve">  . . . . . . . . . . . . . . . . . . . . . . . . . . . . . . . . . . . . . . . . . . . . . . . . . . . .  24</w:t>
      </w:r>
    </w:p>
    <w:p>
      <w:pPr>
        <w:spacing w:after="40"/>
      </w:pPr>
      <w:r>
        <w:rPr>
          <w:sz w:val="20"/>
        </w:rPr>
        <w:t>CAPÍTULO 5: PROTOCOLOS DE AUDITORIA E QUALIDADE DE CÓDIGO</w:t>
      </w:r>
      <w:r>
        <w:rPr>
          <w:color w:val="94A3B8"/>
          <w:sz w:val="20"/>
        </w:rPr>
        <w:t xml:space="preserve">  . . . . . . . . . . . . . . . . . . . . . . . . . . . . . . . . . . . . . . . . . . . . . . . . . . . .  25</w:t>
      </w:r>
    </w:p>
    <w:p>
      <w:pPr>
        <w:spacing w:after="40"/>
      </w:pPr>
      <w:r>
        <w:rPr>
          <w:sz w:val="20"/>
        </w:rPr>
        <w:t xml:space="preserve">  5.1 Regra dos 7 Passos para Geração de Código</w:t>
      </w:r>
      <w:r>
        <w:rPr>
          <w:color w:val="94A3B8"/>
          <w:sz w:val="20"/>
        </w:rPr>
        <w:t xml:space="preserve">  . . . . . . . . . . . . . . . . . . . . . . . . . . . . . . . . . . . . . . . . . . . . . . . . . . . .  25</w:t>
      </w:r>
    </w:p>
    <w:p>
      <w:pPr>
        <w:spacing w:after="40"/>
      </w:pPr>
      <w:r>
        <w:rPr>
          <w:sz w:val="20"/>
        </w:rPr>
        <w:t xml:space="preserve">  5.2 Conselho de Auditoria Multi-Agente (Refutador, Inovador, Juízes)</w:t>
      </w:r>
      <w:r>
        <w:rPr>
          <w:color w:val="94A3B8"/>
          <w:sz w:val="20"/>
        </w:rPr>
        <w:t xml:space="preserve">  . . . . . . . . . . . . . . . . . . . . . . . . . . . . . . . . . . . . . . . . . . . . . . . . . . . .  26</w:t>
      </w:r>
    </w:p>
    <w:p>
      <w:pPr>
        <w:spacing w:after="40"/>
      </w:pPr>
      <w:r>
        <w:rPr>
          <w:sz w:val="20"/>
        </w:rPr>
        <w:t xml:space="preserve">  5.3 Protocolo de Auditoria de Código Morto e Limpeza</w:t>
      </w:r>
      <w:r>
        <w:rPr>
          <w:color w:val="94A3B8"/>
          <w:sz w:val="20"/>
        </w:rPr>
        <w:t xml:space="preserve">  . . . . . . . . . . . . . . . . . . . . . . . . . . . . . . . . . . . . . . . . . . . . . . . . . . . .  27</w:t>
      </w:r>
    </w:p>
    <w:p>
      <w:pPr>
        <w:spacing w:after="40"/>
      </w:pPr>
      <w:r>
        <w:rPr>
          <w:sz w:val="20"/>
        </w:rPr>
        <w:t>CAPÍTULO 6: AVALIAÇÃO DE DESEMPENHO E RESULTADOS</w:t>
      </w:r>
      <w:r>
        <w:rPr>
          <w:color w:val="94A3B8"/>
          <w:sz w:val="20"/>
        </w:rPr>
        <w:t xml:space="preserve">  . . . . . . . . . . . . . . . . . . . . . . . . . . . . . . . . . . . . . . . . . . . . . . . . . . . .  28</w:t>
      </w:r>
    </w:p>
    <w:p>
      <w:pPr>
        <w:spacing w:after="40"/>
      </w:pPr>
      <w:r>
        <w:rPr>
          <w:sz w:val="20"/>
        </w:rPr>
        <w:t xml:space="preserve">  6.1 Benchmarks de Geração de PDF e Consumo de Memória</w:t>
      </w:r>
      <w:r>
        <w:rPr>
          <w:color w:val="94A3B8"/>
          <w:sz w:val="20"/>
        </w:rPr>
        <w:t xml:space="preserve">  . . . . . . . . . . . . . . . . . . . . . . . . . . . . . . . . . . . . . . . . . . . . . . . . . . . .  28</w:t>
      </w:r>
    </w:p>
    <w:p>
      <w:pPr>
        <w:spacing w:after="40"/>
      </w:pPr>
      <w:r>
        <w:rPr>
          <w:sz w:val="20"/>
        </w:rPr>
        <w:t xml:space="preserve">  6.2 Validação da Suite de Testes Unitários (32/32 Passed)</w:t>
      </w:r>
      <w:r>
        <w:rPr>
          <w:color w:val="94A3B8"/>
          <w:sz w:val="20"/>
        </w:rPr>
        <w:t xml:space="preserve">  . . . . . . . . . . . . . . . . . . . . . . . . . . . . . . . . . . . . . . . . . . . . . . . . . . . .  29</w:t>
      </w:r>
    </w:p>
    <w:p>
      <w:pPr>
        <w:spacing w:after="40"/>
      </w:pPr>
      <w:r>
        <w:rPr>
          <w:sz w:val="20"/>
        </w:rPr>
        <w:t>CAPÍTULO 7: REFLEXÃO CRÍTICA, LIMITAÇÕES E TRABALHOS FUTUROS</w:t>
      </w:r>
      <w:r>
        <w:rPr>
          <w:color w:val="94A3B8"/>
          <w:sz w:val="20"/>
        </w:rPr>
        <w:t xml:space="preserve">  . . . . . . . . . . . . . . . . . . . . . . . . . . . . . . . . . . . . . . . . . . . . . . . . . . . .  30</w:t>
      </w:r>
    </w:p>
    <w:p>
      <w:pPr>
        <w:spacing w:after="40"/>
      </w:pPr>
      <w:r>
        <w:rPr>
          <w:sz w:val="20"/>
        </w:rPr>
        <w:t xml:space="preserve">  7.1 Análise Retrospectiva do Desenvolvimento</w:t>
      </w:r>
      <w:r>
        <w:rPr>
          <w:color w:val="94A3B8"/>
          <w:sz w:val="20"/>
        </w:rPr>
        <w:t xml:space="preserve">  . . . . . . . . . . . . . . . . . . . . . . . . . . . . . . . . . . . . . . . . . . . . . . . . . . . .  30</w:t>
      </w:r>
    </w:p>
    <w:p>
      <w:pPr>
        <w:spacing w:after="40"/>
      </w:pPr>
      <w:r>
        <w:rPr>
          <w:sz w:val="20"/>
        </w:rPr>
        <w:t xml:space="preserve">  7.2 Concorrência SQLite e Desafios de Sincronização</w:t>
      </w:r>
      <w:r>
        <w:rPr>
          <w:color w:val="94A3B8"/>
          <w:sz w:val="20"/>
        </w:rPr>
        <w:t xml:space="preserve">  . . . . . . . . . . . . . . . . . . . . . . . . . . . . . . . . . . . . . . . . . . . . . . . . . . . .  31</w:t>
      </w:r>
    </w:p>
    <w:p>
      <w:pPr>
        <w:spacing w:after="40"/>
      </w:pPr>
      <w:r>
        <w:rPr>
          <w:sz w:val="20"/>
        </w:rPr>
        <w:t xml:space="preserve">  7.3 Roadmap de Evolução Cloud e LIMS</w:t>
      </w:r>
      <w:r>
        <w:rPr>
          <w:color w:val="94A3B8"/>
          <w:sz w:val="20"/>
        </w:rPr>
        <w:t xml:space="preserve">  . . . . . . . . . . . . . . . . . . . . . . . . . . . . . . . . . . . . . . . . . . . . . . . . . . . .  31</w:t>
      </w:r>
    </w:p>
    <w:p>
      <w:pPr>
        <w:spacing w:after="40"/>
      </w:pPr>
      <w:r>
        <w:rPr>
          <w:sz w:val="20"/>
        </w:rPr>
        <w:t>CAPÍTULO 8: CONCLUSÃO</w:t>
      </w:r>
      <w:r>
        <w:rPr>
          <w:color w:val="94A3B8"/>
          <w:sz w:val="20"/>
        </w:rPr>
        <w:t xml:space="preserve">  . . . . . . . . . . . . . . . . . . . . . . . . . . . . . . . . . . . . . . . . . . . . . . . . . . . .  32</w:t>
      </w:r>
    </w:p>
    <w:p>
      <w:pPr>
        <w:spacing w:after="40"/>
      </w:pPr>
      <w:r>
        <w:rPr>
          <w:sz w:val="20"/>
        </w:rPr>
        <w:t>CAPÍTULO 9: REFERÊNCIAS BIBLIOGRÁFICAS (ISO 690 / IEEE)</w:t>
      </w:r>
      <w:r>
        <w:rPr>
          <w:color w:val="94A3B8"/>
          <w:sz w:val="20"/>
        </w:rPr>
        <w:t xml:space="preserve">  . . . . . . . . . . . . . . . . . . . . . . . . . . . . . . . . . . . . . . . . . . . . . . . . . . . .  33</w:t>
      </w:r>
    </w:p>
    <w:p>
      <w:pPr>
        <w:keepNext/>
        <w:spacing w:before="280" w:after="120"/>
      </w:pPr>
      <w:r>
        <w:rPr>
          <w:b/>
          <w:color w:val="2C3E50"/>
          <w:sz w:val="26"/>
        </w:rPr>
        <w:t>LISTA DE ABREVIATURAS E SIGLAS</w:t>
      </w:r>
    </w:p>
    <w:p>
      <w:pPr>
        <w:spacing w:after="40"/>
      </w:pPr>
      <w:r>
        <w:rPr>
          <w:b/>
          <w:sz w:val="19"/>
        </w:rPr>
        <w:t xml:space="preserve">• API: </w:t>
      </w:r>
      <w:r>
        <w:rPr>
          <w:sz w:val="19"/>
        </w:rPr>
        <w:t>Application Programming Interface</w:t>
      </w:r>
    </w:p>
    <w:p>
      <w:pPr>
        <w:spacing w:after="40"/>
      </w:pPr>
      <w:r>
        <w:rPr>
          <w:b/>
          <w:sz w:val="19"/>
        </w:rPr>
        <w:t xml:space="preserve">• AST: </w:t>
      </w:r>
      <w:r>
        <w:rPr>
          <w:sz w:val="19"/>
        </w:rPr>
        <w:t>Abstract Syntax Tree</w:t>
      </w:r>
    </w:p>
    <w:p>
      <w:pPr>
        <w:spacing w:after="40"/>
      </w:pPr>
      <w:r>
        <w:rPr>
          <w:b/>
          <w:sz w:val="19"/>
        </w:rPr>
        <w:t xml:space="preserve">• CLP: </w:t>
      </w:r>
      <w:r>
        <w:rPr>
          <w:sz w:val="19"/>
        </w:rPr>
        <w:t>Classification, Labelling and Packaging (Regulamento CE n.º 1272/2008)</w:t>
      </w:r>
    </w:p>
    <w:p>
      <w:pPr>
        <w:spacing w:after="40"/>
      </w:pPr>
      <w:r>
        <w:rPr>
          <w:b/>
          <w:sz w:val="19"/>
        </w:rPr>
        <w:t xml:space="preserve">• CSV: </w:t>
      </w:r>
      <w:r>
        <w:rPr>
          <w:sz w:val="19"/>
        </w:rPr>
        <w:t>Comma-Separated Values</w:t>
      </w:r>
    </w:p>
    <w:p>
      <w:pPr>
        <w:spacing w:after="40"/>
      </w:pPr>
      <w:r>
        <w:rPr>
          <w:b/>
          <w:sz w:val="19"/>
        </w:rPr>
        <w:t xml:space="preserve">• ECHA: </w:t>
      </w:r>
      <w:r>
        <w:rPr>
          <w:sz w:val="19"/>
        </w:rPr>
        <w:t>European Chemicals Agency</w:t>
      </w:r>
    </w:p>
    <w:p>
      <w:pPr>
        <w:spacing w:after="40"/>
      </w:pPr>
      <w:r>
        <w:rPr>
          <w:b/>
          <w:sz w:val="19"/>
        </w:rPr>
        <w:t xml:space="preserve">• EF: </w:t>
      </w:r>
      <w:r>
        <w:rPr>
          <w:sz w:val="19"/>
        </w:rPr>
        <w:t>Entity Framework Core</w:t>
      </w:r>
    </w:p>
    <w:p>
      <w:pPr>
        <w:spacing w:after="40"/>
      </w:pPr>
      <w:r>
        <w:rPr>
          <w:b/>
          <w:sz w:val="19"/>
        </w:rPr>
        <w:t xml:space="preserve">• GHS: </w:t>
      </w:r>
      <w:r>
        <w:rPr>
          <w:sz w:val="19"/>
        </w:rPr>
        <w:t>Globally Harmonized System of Classification and Labelling of Chemicals</w:t>
      </w:r>
    </w:p>
    <w:p>
      <w:pPr>
        <w:spacing w:after="40"/>
      </w:pPr>
      <w:r>
        <w:rPr>
          <w:b/>
          <w:sz w:val="19"/>
        </w:rPr>
        <w:t xml:space="preserve">• HTML: </w:t>
      </w:r>
      <w:r>
        <w:rPr>
          <w:sz w:val="19"/>
        </w:rPr>
        <w:t>HyperText Markup Language</w:t>
      </w:r>
    </w:p>
    <w:p>
      <w:pPr>
        <w:spacing w:after="40"/>
      </w:pPr>
      <w:r>
        <w:rPr>
          <w:b/>
          <w:sz w:val="19"/>
        </w:rPr>
        <w:t xml:space="preserve">• IEEE: </w:t>
      </w:r>
      <w:r>
        <w:rPr>
          <w:sz w:val="19"/>
        </w:rPr>
        <w:t>Institute of Electrical and Electronics Engineers</w:t>
      </w:r>
    </w:p>
    <w:p>
      <w:pPr>
        <w:spacing w:after="40"/>
      </w:pPr>
      <w:r>
        <w:rPr>
          <w:b/>
          <w:sz w:val="19"/>
        </w:rPr>
        <w:t xml:space="preserve">• ISO: </w:t>
      </w:r>
      <w:r>
        <w:rPr>
          <w:sz w:val="19"/>
        </w:rPr>
        <w:t>International Organization for Standardization</w:t>
      </w:r>
    </w:p>
    <w:p>
      <w:pPr>
        <w:spacing w:after="40"/>
      </w:pPr>
      <w:r>
        <w:rPr>
          <w:b/>
          <w:sz w:val="19"/>
        </w:rPr>
        <w:t xml:space="preserve">• LIMS: </w:t>
      </w:r>
      <w:r>
        <w:rPr>
          <w:sz w:val="19"/>
        </w:rPr>
        <w:t>Laboratory Information Management System</w:t>
      </w:r>
    </w:p>
    <w:p>
      <w:pPr>
        <w:spacing w:after="40"/>
      </w:pPr>
      <w:r>
        <w:rPr>
          <w:b/>
          <w:sz w:val="19"/>
        </w:rPr>
        <w:t xml:space="preserve">• MSDS: </w:t>
      </w:r>
      <w:r>
        <w:rPr>
          <w:sz w:val="19"/>
        </w:rPr>
        <w:t>Material Safety Data Sheet</w:t>
      </w:r>
    </w:p>
    <w:p>
      <w:pPr>
        <w:spacing w:after="40"/>
      </w:pPr>
      <w:r>
        <w:rPr>
          <w:b/>
          <w:sz w:val="19"/>
        </w:rPr>
        <w:t xml:space="preserve">• MVVM: </w:t>
      </w:r>
      <w:r>
        <w:rPr>
          <w:sz w:val="19"/>
        </w:rPr>
        <w:t>Model-View-ViewModel</w:t>
      </w:r>
    </w:p>
    <w:p>
      <w:pPr>
        <w:spacing w:after="40"/>
      </w:pPr>
      <w:r>
        <w:rPr>
          <w:b/>
          <w:sz w:val="19"/>
        </w:rPr>
        <w:t xml:space="preserve">• PDF: </w:t>
      </w:r>
      <w:r>
        <w:rPr>
          <w:sz w:val="19"/>
        </w:rPr>
        <w:t>Portable Document Format</w:t>
      </w:r>
    </w:p>
    <w:p>
      <w:pPr>
        <w:spacing w:after="40"/>
      </w:pPr>
      <w:r>
        <w:rPr>
          <w:b/>
          <w:sz w:val="19"/>
        </w:rPr>
        <w:t xml:space="preserve">• REACH: </w:t>
      </w:r>
      <w:r>
        <w:rPr>
          <w:sz w:val="19"/>
        </w:rPr>
        <w:t>Registration, Evaluation, Authorisation and Restriction of Chemicals (Regulamento CE n.º 1907/2006)</w:t>
      </w:r>
    </w:p>
    <w:p>
      <w:pPr>
        <w:spacing w:after="40"/>
      </w:pPr>
      <w:r>
        <w:rPr>
          <w:b/>
          <w:sz w:val="19"/>
        </w:rPr>
        <w:t xml:space="preserve">• SDS: </w:t>
      </w:r>
      <w:r>
        <w:rPr>
          <w:sz w:val="19"/>
        </w:rPr>
        <w:t>Safety Data Sheet (Ficha de Dados de Segurança)</w:t>
      </w:r>
    </w:p>
    <w:p>
      <w:pPr>
        <w:spacing w:after="40"/>
      </w:pPr>
      <w:r>
        <w:rPr>
          <w:b/>
          <w:sz w:val="19"/>
        </w:rPr>
        <w:t xml:space="preserve">• SVG: </w:t>
      </w:r>
      <w:r>
        <w:rPr>
          <w:sz w:val="19"/>
        </w:rPr>
        <w:t>Scalable Vector Graphics</w:t>
      </w:r>
    </w:p>
    <w:p>
      <w:pPr>
        <w:spacing w:after="40"/>
      </w:pPr>
      <w:r>
        <w:rPr>
          <w:b/>
          <w:sz w:val="19"/>
        </w:rPr>
        <w:t xml:space="preserve">• TDS: </w:t>
      </w:r>
      <w:r>
        <w:rPr>
          <w:sz w:val="19"/>
        </w:rPr>
        <w:t>Technical Data Sheet (Ficha Técnica de Produto)</w:t>
      </w:r>
    </w:p>
    <w:p>
      <w:pPr>
        <w:spacing w:after="40"/>
      </w:pPr>
      <w:r>
        <w:rPr>
          <w:b/>
          <w:sz w:val="19"/>
        </w:rPr>
        <w:t xml:space="preserve">• TSV: </w:t>
      </w:r>
      <w:r>
        <w:rPr>
          <w:sz w:val="19"/>
        </w:rPr>
        <w:t>Tab-Separated Values</w:t>
      </w:r>
    </w:p>
    <w:p>
      <w:pPr>
        <w:spacing w:after="40"/>
      </w:pPr>
      <w:r>
        <w:rPr>
          <w:b/>
          <w:sz w:val="19"/>
        </w:rPr>
        <w:t xml:space="preserve">• UI/UX: </w:t>
      </w:r>
      <w:r>
        <w:rPr>
          <w:sz w:val="19"/>
        </w:rPr>
        <w:t>User Interface / User Experience</w:t>
      </w:r>
    </w:p>
    <w:p>
      <w:pPr>
        <w:spacing w:after="40"/>
      </w:pPr>
      <w:r>
        <w:rPr>
          <w:b/>
          <w:sz w:val="19"/>
        </w:rPr>
        <w:t xml:space="preserve">• WinUI: </w:t>
      </w:r>
      <w:r>
        <w:rPr>
          <w:sz w:val="19"/>
        </w:rPr>
        <w:t>Windows User Interface Library</w:t>
      </w:r>
    </w:p>
    <w:p>
      <w:r>
        <w:br w:type="page"/>
      </w:r>
    </w:p>
    <w:p>
      <w:pPr>
        <w:keepNext/>
        <w:spacing w:before="360" w:after="160"/>
      </w:pPr>
      <w:r>
        <w:rPr>
          <w:b/>
          <w:color w:val="19528D"/>
          <w:sz w:val="32"/>
        </w:rPr>
        <w:t>CAPÍTULO 1: INTRODUÇÃO E ENQUADRAMENTO INDUSTRIAL</w:t>
      </w:r>
    </w:p>
    <w:p>
      <w:pPr>
        <w:keepNext/>
        <w:spacing w:before="280" w:after="120"/>
      </w:pPr>
      <w:r>
        <w:rPr>
          <w:b/>
          <w:color w:val="2C3E50"/>
          <w:sz w:val="26"/>
        </w:rPr>
        <w:t>1.1 Contexto e Motivação na Indústria de Revestimentos Nanoestruturados</w:t>
      </w:r>
    </w:p>
    <w:p>
      <w:r>
        <w:t>A indústria moderna de tintas funcionais, revestimentos nanoestruturados e sensores impressos em substratos flexíveis representa um dos setores de maior crescimento tecnológico e valor acrescentado na engenharia de materiais. A produção de sensores piezoresistivos, tintas condutoras de grafeno e formulações barreira exige um rigor extremo na caracterização das propriedades físicas, químicas, mecânicas e funcionais de cada lote de fabrico.</w:t>
      </w:r>
    </w:p>
    <w:p>
      <w:r>
        <w:t>No entanto, o cumprimento dos requisitos legais e comerciais impõe a emissão de dois tipos fundamentais de documentação técnica por cada produto colocado no mercado europeu:</w:t>
        <w:br/>
        <w:t>1. Fichas Técnicas (TDS - Technical Data Sheets): documentos orientados ao cliente técnico e engenheiro de aplicação, detalhando curvas de sensibilidade, histerese, viscosidade, tempos de resposta e especificações de desempenho.</w:t>
        <w:br/>
        <w:t>2. Fichas de Dados de Segurança (SDS - Safety Data Sheets): documentos normativos obrigatórios por lei, estruturados rigorosamente em 16 secções normalizadas segundo as diretivas europeias REACH (Regulamento CE n.º 1907/2006) e CLP (Regulamento CE n.º 1272/2008), contendo declarações de perigo (frases H), recomendações de prudência (frases P) e dados toxicológicos da European Chemicals Agency (ECHA).</w:t>
      </w:r>
    </w:p>
    <w:p>
      <w:pPr>
        <w:keepNext/>
        <w:spacing w:before="280" w:after="120"/>
      </w:pPr>
      <w:r>
        <w:rPr>
          <w:b/>
          <w:color w:val="2C3E50"/>
          <w:sz w:val="26"/>
        </w:rPr>
        <w:t>1.2 Problemas Identificados nas Soluções Tradicionais</w:t>
      </w:r>
    </w:p>
    <w:p>
      <w:r>
        <w:t>Antes do desenvolvimento da plataforma NanopaintHub, a elaboração e atualização destes documentos sofria de severas ineficiências operacionais:</w:t>
        <w:br/>
        <w:t>• Processos Manuais e Fragmentados: As equipas de I&amp;D e Qualidade utilizavam processadores de texto convencionais e folhas de cálculo isoladas, resultando em erros de transcrição manual de dados de sensores e propriedades de lotes.</w:t>
        <w:br/>
        <w:t>• Inconsistência Gráfica e de Layout: A ausência de um motor de renderização centralizado provocava variações indesejadas de margens, fontes e cores institucionais entre diferentes versões de documentos.</w:t>
        <w:br/>
        <w:t>• Rigidez dos Motores de PDF: Soluções legadas baseadas exclusivamente em automação Web (Chromium/Puppeteer) introduziam um elevado overhead de memória RAM (&gt;350MB por processo) e tempos de geração superiores a 3.5 segundos por documento, tornando inviável a geração em lote ou pré-visualizações instantâneas na interface desktop.</w:t>
      </w:r>
    </w:p>
    <w:p>
      <w:pPr>
        <w:keepNext/>
        <w:spacing w:before="280" w:after="120"/>
      </w:pPr>
      <w:r>
        <w:rPr>
          <w:b/>
          <w:color w:val="2C3E50"/>
          <w:sz w:val="26"/>
        </w:rPr>
        <w:t>1.3 Objetivos Gerais e Específicos do Projeto</w:t>
      </w:r>
    </w:p>
    <w:p>
      <w:r>
        <w:t>O objetivo principal do projeto NanopaintHub foi conceber, arquitetar e implementar uma plataforma empresarial desktop integrada em C#/.NET 9 e WinUI 3, capaz de centralizar o catálogo de produtos e fornecer um motor híbrido e determinístico para a geração automática de fichas TDS e SDS.</w:t>
      </w:r>
    </w:p>
    <w:p>
      <w:r>
        <w:t>Como objetivos específicos, destacam-se:</w:t>
      </w:r>
    </w:p>
    <w:p>
      <w:r>
        <w:t>1. Implementar uma Arquitetura Limpa em Camadas (Clean Architecture) garantindo o isolamento total entre Domínio, Aplicação, Infraestrutura e Apresentação.</w:t>
      </w:r>
    </w:p>
    <w:p>
      <w:r>
        <w:t>2. Desenvolver um Motor Multi-Engine de PDF baseado no padrão Strategy Pattern, integrando QuestPDF (rendering em memória nativo), iText7 pdfHTML e PuppeteerSharp.</w:t>
      </w:r>
    </w:p>
    <w:p>
      <w:r>
        <w:t>3. Criar um módulo especializado em Sensores Técnicos, capaz de importar ficheiros CSV/TSV de ensaios laboratoriais e renderizar nativamente gráficos SVG vectoriais de histerese e linearidade.</w:t>
      </w:r>
    </w:p>
    <w:p>
      <w:r>
        <w:t>4. Garantir a conformidade legal SDS com validação de dados de fornecedores e integração de mecanismos de diagnóstico SQLite / EF Core.</w:t>
      </w:r>
    </w:p>
    <w:p>
      <w:r>
        <w:t>5. Estabelecer protocolos normativos de qualidade de código (Regra dos 7 Passos, Conselho de Auditoria Multi-Agente e Protocolo de Código Morto).</w:t>
      </w:r>
    </w:p>
    <w:p>
      <w:pPr>
        <w:keepNext/>
        <w:spacing w:before="280" w:after="120"/>
      </w:pPr>
      <w:r>
        <w:rPr>
          <w:b/>
          <w:color w:val="2C3E50"/>
          <w:sz w:val="26"/>
        </w:rPr>
        <w:t>1.4 Estrutura do Relatório</w:t>
      </w:r>
    </w:p>
    <w:p>
      <w:r>
        <w:t>O presente relatório organiza-se em 9 capítulos complementares. O Capítulo 2 aborda o estado da arte e a fundamentação teórica. O Capítulo 3 detalha a arquitetura em camadas do sistema. O Capítulo 4 expõe os módulos técnicos implementados. O Capítulo 5 apresenta os protocolos de auditoria e qualidade. O Capítulo 6 sumariza os resultados e benchmarks de desempenho. O Capítulo 7 fornece a reflexão crítica e trabalhos futuros. O Capítulo 8 conclui o trabalho, seguido das Referências Bibliográficas no Capítulo 9.</w:t>
      </w:r>
    </w:p>
    <w:tbl>
      <w:tblPr>
        <w:tblW w:type="auto" w:w="0"/>
        <w:jc w:val="center"/>
        <w:tblLook w:firstColumn="1" w:firstRow="1" w:lastColumn="0" w:lastRow="0" w:noHBand="0" w:noVBand="1" w:val="04A0"/>
      </w:tblPr>
      <w:tblGrid>
        <w:gridCol w:w="9406"/>
      </w:tblGrid>
      <w:tr>
        <w:tc>
          <w:tcPr>
            <w:tcW w:type="dxa" w:w="9406"/>
            <w:shd w:val="clear" w:color="auto" w:fill="F8FAFC"/>
            <w:tcMar>
              <w:top w:w="140" w:type="dxa"/>
              <w:bottom w:w="140" w:type="dxa"/>
              <w:left w:w="200" w:type="dxa"/>
              <w:right w:w="200" w:type="dxa"/>
            </w:tcMar>
          </w:tcPr>
          <w:p>
            <w:pPr>
              <w:spacing w:after="40"/>
            </w:pPr>
            <w:r>
              <w:rPr>
                <w:b/>
                <w:color w:val="19528D"/>
                <w:sz w:val="20"/>
              </w:rPr>
              <w:t>[VISÃO ESTRATÉGICA NANOPAINTHUB]</w:t>
              <w:br/>
            </w:r>
            <w:r>
              <w:rPr>
                <w:sz w:val="20"/>
              </w:rPr>
              <w:t>A plataforma NanopaintHub foi desenhada desde a sua raiz sob o princípio Local-First, permitindo operação completa e rápida em postos de trabalho industriais sem dependência obrigatória de conectividade contínua à nuvem.</w:t>
            </w:r>
          </w:p>
        </w:tc>
      </w:tr>
    </w:tbl>
    <w:p/>
    <w:p>
      <w:r>
        <w:br w:type="page"/>
      </w:r>
    </w:p>
    <w:p>
      <w:pPr>
        <w:keepNext/>
        <w:spacing w:before="360" w:after="160"/>
      </w:pPr>
      <w:r>
        <w:rPr>
          <w:b/>
          <w:color w:val="19528D"/>
          <w:sz w:val="32"/>
        </w:rPr>
        <w:t>CAPÍTULO 2: ESTADO DA ARTE E FUNDAMENTAÇÃO TEÓRICA</w:t>
      </w:r>
    </w:p>
    <w:p>
      <w:pPr>
        <w:keepNext/>
        <w:spacing w:before="280" w:after="120"/>
      </w:pPr>
      <w:r>
        <w:rPr>
          <w:b/>
          <w:color w:val="2C3E50"/>
          <w:sz w:val="26"/>
        </w:rPr>
        <w:t>2.1 Tecnologias de Geração de Documentos PDF (.NET 9)</w:t>
      </w:r>
    </w:p>
    <w:p>
      <w:r>
        <w:t>A geração programática de documentos PDF em ambientes empresariais evoluiu significativamente na última década. No ecossistema .NET, coexistem atualmente três abordagens paradigmáticas principais, cada uma apresentando vantagens e compromissos arquiteturais distintos:</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19528D"/>
            <w:tcMar>
              <w:top w:w="100" w:type="dxa"/>
              <w:bottom w:w="100" w:type="dxa"/>
              <w:left w:w="120" w:type="dxa"/>
              <w:right w:w="120" w:type="dxa"/>
            </w:tcMar>
          </w:tcPr>
          <w:p>
            <w:r>
              <w:rPr>
                <w:b/>
                <w:color w:val="FFFFFF"/>
                <w:sz w:val="19"/>
              </w:rPr>
              <w:t>Característica / Motor</w:t>
            </w:r>
          </w:p>
        </w:tc>
        <w:tc>
          <w:tcPr>
            <w:tcW w:type="dxa" w:w="2351"/>
            <w:shd w:val="clear" w:color="auto" w:fill="19528D"/>
            <w:tcMar>
              <w:top w:w="100" w:type="dxa"/>
              <w:bottom w:w="100" w:type="dxa"/>
              <w:left w:w="120" w:type="dxa"/>
              <w:right w:w="120" w:type="dxa"/>
            </w:tcMar>
          </w:tcPr>
          <w:p>
            <w:r>
              <w:rPr>
                <w:b/>
                <w:color w:val="FFFFFF"/>
                <w:sz w:val="19"/>
              </w:rPr>
              <w:t>QuestPDF (C# Fluent)</w:t>
            </w:r>
          </w:p>
        </w:tc>
        <w:tc>
          <w:tcPr>
            <w:tcW w:type="dxa" w:w="2351"/>
            <w:shd w:val="clear" w:color="auto" w:fill="19528D"/>
            <w:tcMar>
              <w:top w:w="100" w:type="dxa"/>
              <w:bottom w:w="100" w:type="dxa"/>
              <w:left w:w="120" w:type="dxa"/>
              <w:right w:w="120" w:type="dxa"/>
            </w:tcMar>
          </w:tcPr>
          <w:p>
            <w:r>
              <w:rPr>
                <w:b/>
                <w:color w:val="FFFFFF"/>
                <w:sz w:val="19"/>
              </w:rPr>
              <w:t>iText7 pdfHTML</w:t>
            </w:r>
          </w:p>
        </w:tc>
        <w:tc>
          <w:tcPr>
            <w:tcW w:type="dxa" w:w="2351"/>
            <w:shd w:val="clear" w:color="auto" w:fill="19528D"/>
            <w:tcMar>
              <w:top w:w="100" w:type="dxa"/>
              <w:bottom w:w="100" w:type="dxa"/>
              <w:left w:w="120" w:type="dxa"/>
              <w:right w:w="120" w:type="dxa"/>
            </w:tcMar>
          </w:tcPr>
          <w:p>
            <w:r>
              <w:rPr>
                <w:b/>
                <w:color w:val="FFFFFF"/>
                <w:sz w:val="19"/>
              </w:rPr>
              <w:t>PuppeteerSharp (Chromium)</w:t>
            </w:r>
          </w:p>
        </w:tc>
      </w:tr>
      <w:tr>
        <w:tc>
          <w:tcPr>
            <w:tcW w:type="dxa" w:w="2351"/>
            <w:shd w:val="clear" w:color="auto" w:fill="F8FAFC"/>
            <w:tcMar>
              <w:top w:w="80" w:type="dxa"/>
              <w:bottom w:w="80" w:type="dxa"/>
              <w:left w:w="120" w:type="dxa"/>
              <w:right w:w="120" w:type="dxa"/>
            </w:tcMar>
          </w:tcPr>
          <w:p>
            <w:r>
              <w:rPr>
                <w:sz w:val="18"/>
              </w:rPr>
              <w:t>Paradigma de Design</w:t>
            </w:r>
          </w:p>
        </w:tc>
        <w:tc>
          <w:tcPr>
            <w:tcW w:type="dxa" w:w="2351"/>
            <w:shd w:val="clear" w:color="auto" w:fill="F8FAFC"/>
            <w:tcMar>
              <w:top w:w="80" w:type="dxa"/>
              <w:bottom w:w="80" w:type="dxa"/>
              <w:left w:w="120" w:type="dxa"/>
              <w:right w:w="120" w:type="dxa"/>
            </w:tcMar>
          </w:tcPr>
          <w:p>
            <w:r>
              <w:rPr>
                <w:sz w:val="18"/>
              </w:rPr>
              <w:t>DSL C# Declarativa em Memória</w:t>
            </w:r>
          </w:p>
        </w:tc>
        <w:tc>
          <w:tcPr>
            <w:tcW w:type="dxa" w:w="2351"/>
            <w:shd w:val="clear" w:color="auto" w:fill="F8FAFC"/>
            <w:tcMar>
              <w:top w:w="80" w:type="dxa"/>
              <w:bottom w:w="80" w:type="dxa"/>
              <w:left w:w="120" w:type="dxa"/>
              <w:right w:w="120" w:type="dxa"/>
            </w:tcMar>
          </w:tcPr>
          <w:p>
            <w:r>
              <w:rPr>
                <w:sz w:val="18"/>
              </w:rPr>
              <w:t>Conversão HTML5/CSS3</w:t>
            </w:r>
          </w:p>
        </w:tc>
        <w:tc>
          <w:tcPr>
            <w:tcW w:type="dxa" w:w="2351"/>
            <w:shd w:val="clear" w:color="auto" w:fill="F8FAFC"/>
            <w:tcMar>
              <w:top w:w="80" w:type="dxa"/>
              <w:bottom w:w="80" w:type="dxa"/>
              <w:left w:w="120" w:type="dxa"/>
              <w:right w:w="120" w:type="dxa"/>
            </w:tcMar>
          </w:tcPr>
          <w:p>
            <w:r>
              <w:rPr>
                <w:sz w:val="18"/>
              </w:rPr>
              <w:t>Headless Browser Virtual</w:t>
            </w:r>
          </w:p>
        </w:tc>
      </w:tr>
      <w:tr>
        <w:tc>
          <w:tcPr>
            <w:tcW w:type="dxa" w:w="2351"/>
            <w:tcMar>
              <w:top w:w="80" w:type="dxa"/>
              <w:bottom w:w="80" w:type="dxa"/>
              <w:left w:w="120" w:type="dxa"/>
              <w:right w:w="120" w:type="dxa"/>
            </w:tcMar>
          </w:tcPr>
          <w:p>
            <w:r>
              <w:rPr>
                <w:sz w:val="18"/>
              </w:rPr>
              <w:t>Tempo Médio de Geração</w:t>
            </w:r>
          </w:p>
        </w:tc>
        <w:tc>
          <w:tcPr>
            <w:tcW w:type="dxa" w:w="2351"/>
            <w:tcMar>
              <w:top w:w="80" w:type="dxa"/>
              <w:bottom w:w="80" w:type="dxa"/>
              <w:left w:w="120" w:type="dxa"/>
              <w:right w:w="120" w:type="dxa"/>
            </w:tcMar>
          </w:tcPr>
          <w:p>
            <w:r>
              <w:rPr>
                <w:sz w:val="18"/>
              </w:rPr>
              <w:t>~15 ms - 45 ms (Ultra Rápido)</w:t>
            </w:r>
          </w:p>
        </w:tc>
        <w:tc>
          <w:tcPr>
            <w:tcW w:type="dxa" w:w="2351"/>
            <w:tcMar>
              <w:top w:w="80" w:type="dxa"/>
              <w:bottom w:w="80" w:type="dxa"/>
              <w:left w:w="120" w:type="dxa"/>
              <w:right w:w="120" w:type="dxa"/>
            </w:tcMar>
          </w:tcPr>
          <w:p>
            <w:r>
              <w:rPr>
                <w:sz w:val="18"/>
              </w:rPr>
              <w:t>~120 ms - 300 ms</w:t>
            </w:r>
          </w:p>
        </w:tc>
        <w:tc>
          <w:tcPr>
            <w:tcW w:type="dxa" w:w="2351"/>
            <w:tcMar>
              <w:top w:w="80" w:type="dxa"/>
              <w:bottom w:w="80" w:type="dxa"/>
              <w:left w:w="120" w:type="dxa"/>
              <w:right w:w="120" w:type="dxa"/>
            </w:tcMar>
          </w:tcPr>
          <w:p>
            <w:r>
              <w:rPr>
                <w:sz w:val="18"/>
              </w:rPr>
              <w:t>~1800 ms - 4500 ms (Elevado)</w:t>
            </w:r>
          </w:p>
        </w:tc>
      </w:tr>
      <w:tr>
        <w:tc>
          <w:tcPr>
            <w:tcW w:type="dxa" w:w="2351"/>
            <w:shd w:val="clear" w:color="auto" w:fill="F8FAFC"/>
            <w:tcMar>
              <w:top w:w="80" w:type="dxa"/>
              <w:bottom w:w="80" w:type="dxa"/>
              <w:left w:w="120" w:type="dxa"/>
              <w:right w:w="120" w:type="dxa"/>
            </w:tcMar>
          </w:tcPr>
          <w:p>
            <w:r>
              <w:rPr>
                <w:sz w:val="18"/>
              </w:rPr>
              <w:t>Pegada de Memória (RAM)</w:t>
            </w:r>
          </w:p>
        </w:tc>
        <w:tc>
          <w:tcPr>
            <w:tcW w:type="dxa" w:w="2351"/>
            <w:shd w:val="clear" w:color="auto" w:fill="F8FAFC"/>
            <w:tcMar>
              <w:top w:w="80" w:type="dxa"/>
              <w:bottom w:w="80" w:type="dxa"/>
              <w:left w:w="120" w:type="dxa"/>
              <w:right w:w="120" w:type="dxa"/>
            </w:tcMar>
          </w:tcPr>
          <w:p>
            <w:r>
              <w:rPr>
                <w:sz w:val="18"/>
              </w:rPr>
              <w:t>~12 MB a 25 MB</w:t>
            </w:r>
          </w:p>
        </w:tc>
        <w:tc>
          <w:tcPr>
            <w:tcW w:type="dxa" w:w="2351"/>
            <w:shd w:val="clear" w:color="auto" w:fill="F8FAFC"/>
            <w:tcMar>
              <w:top w:w="80" w:type="dxa"/>
              <w:bottom w:w="80" w:type="dxa"/>
              <w:left w:w="120" w:type="dxa"/>
              <w:right w:w="120" w:type="dxa"/>
            </w:tcMar>
          </w:tcPr>
          <w:p>
            <w:r>
              <w:rPr>
                <w:sz w:val="18"/>
              </w:rPr>
              <w:t>~45 MB a 90 MB</w:t>
            </w:r>
          </w:p>
        </w:tc>
        <w:tc>
          <w:tcPr>
            <w:tcW w:type="dxa" w:w="2351"/>
            <w:shd w:val="clear" w:color="auto" w:fill="F8FAFC"/>
            <w:tcMar>
              <w:top w:w="80" w:type="dxa"/>
              <w:bottom w:w="80" w:type="dxa"/>
              <w:left w:w="120" w:type="dxa"/>
              <w:right w:w="120" w:type="dxa"/>
            </w:tcMar>
          </w:tcPr>
          <w:p>
            <w:r>
              <w:rPr>
                <w:sz w:val="18"/>
              </w:rPr>
              <w:t>~250 MB a 450 MB (Processo Chromium)</w:t>
            </w:r>
          </w:p>
        </w:tc>
      </w:tr>
    </w:tbl>
    <w:p/>
    <w:p>
      <w:r>
        <w:t>A análise comparativa evidencia que o QuestPDF oferece desempenho inigualável para documentos com layout fortemente estruturado e páginas numeradas de forma determinística, enquanto os motores baseados em HTML (iText7 e Puppeteer) são ideais para conteúdos altamente dinâmicos provenientes de editores WYSIWYG.</w:t>
      </w:r>
    </w:p>
    <w:p>
      <w:pPr>
        <w:keepNext/>
        <w:spacing w:before="280" w:after="120"/>
      </w:pPr>
      <w:r>
        <w:rPr>
          <w:b/>
          <w:color w:val="2C3E50"/>
          <w:sz w:val="26"/>
        </w:rPr>
        <w:t>2.2 Regulamentação Europeia de Fichas de Segurança (REACH &amp; CLP)</w:t>
      </w:r>
    </w:p>
    <w:p>
      <w:r>
        <w:t>O regulamento europeu REACH (CE n.º 1907/2006) estipula que o fabricante ou distribuidor de substâncias e misturas perigosas na União Europeia deve fornecer uma Ficha de Dados de Segurança (SDS) compilada sob 16 secções obrigatórias especificadas no Anexo II (alterado pelo Regulamento UE 2020/878):</w:t>
        <w:br/>
        <w:t>1. Identificação da substância/mistura e da sociedade/empresa;</w:t>
        <w:br/>
        <w:t>2. Identificação dos perigos (Pictogramas GHS, Palavras de Sinalização, Frases H e P);</w:t>
        <w:br/>
        <w:t>3. Composição / informação sobre os componentes (Fração mássica e números CAS/CE);</w:t>
        <w:br/>
        <w:t>4. Medidas de primeiros socorros; 5. Medidas de combate a incêndios; 6. Medidas a tomar em caso de fugas acidentais;</w:t>
        <w:br/>
        <w:t>7. Manuseamento e armazenagem; 8. Controlo da exposição / proteção individual; 9. Propriedades físicas e químicas;</w:t>
        <w:br/>
        <w:t>10. Estabilidade e reatividade; 11. Informação toxicológica; 12. Informação ecológica;</w:t>
        <w:br/>
        <w:t>13. Considerações relativas à eliminação; 14. Informações relativas ao transporte (ADR/RID/IMDG);</w:t>
        <w:br/>
        <w:t>15. Informação sobre regulamentação; 16. Outras informações.</w:t>
      </w:r>
    </w:p>
    <w:p>
      <w:pPr>
        <w:keepNext/>
        <w:spacing w:before="280" w:after="120"/>
      </w:pPr>
      <w:r>
        <w:rPr>
          <w:b/>
          <w:color w:val="2C3E50"/>
          <w:sz w:val="26"/>
        </w:rPr>
        <w:t>2.3 Padrões de Arquitetura de Software: Clean Architecture &amp; Strategy Pattern</w:t>
      </w:r>
    </w:p>
    <w:p>
      <w:r>
        <w:t>Para evitar o acoplamento excessivo entre a lógica de negócio de produtos químicos e a tecnologia concreta de renderização em PDF, a arquitetura do NanopaintHub foi concebida sob os princípios da Clean Architecture (Robert C. Martin). As regras de domínio e modelos permanecem totalmente agnósticos de base de dados e bibliotecas externas. A integração dos motores PDF faz-se através da aplicação do padrão comportamental Strategy (GoF), permitindo a comutação dinâmica do gerador em tempo de execução através da interface `IDocumentGeneratorService`.</w:t>
      </w:r>
    </w:p>
    <w:p>
      <w:pPr>
        <w:keepNext/>
        <w:spacing w:before="280" w:after="120"/>
      </w:pPr>
      <w:r>
        <w:rPr>
          <w:b/>
          <w:color w:val="2C3E50"/>
          <w:sz w:val="26"/>
        </w:rPr>
        <w:t>2.4 Interface de Utilizador: WinUI 3 e Fluent Design System</w:t>
      </w:r>
    </w:p>
    <w:p>
      <w:r>
        <w:t>O Windows App SDK (WinUI 3) representa o estado da arte no desenvolvimento de aplicações nativas para Windows 10 e 11. A adotação das diretrizes do Fluent Design System proporciona componentes adaptativos (como `NavigationView`, `SettingsCard`, `InfoBar` e `ProgressRing`), suporte nativo ao tema escuro/claro e aceleração por hardware via DComposition.</w:t>
      </w:r>
    </w:p>
    <w:p>
      <w:r>
        <w:br w:type="page"/>
      </w:r>
    </w:p>
    <w:p>
      <w:pPr>
        <w:keepNext/>
        <w:spacing w:before="360" w:after="160"/>
      </w:pPr>
      <w:r>
        <w:rPr>
          <w:b/>
          <w:color w:val="19528D"/>
          <w:sz w:val="32"/>
        </w:rPr>
        <w:t>CAPÍTULO 3: ARQUITETURA GLOBAL DA SOLUÇÃO NANOPAINTHUB</w:t>
      </w:r>
    </w:p>
    <w:p>
      <w:pPr>
        <w:keepNext/>
        <w:spacing w:before="280" w:after="120"/>
      </w:pPr>
      <w:r>
        <w:rPr>
          <w:b/>
          <w:color w:val="2C3E50"/>
          <w:sz w:val="26"/>
        </w:rPr>
        <w:t>3.1 Organização Modular em Camadas</w:t>
      </w:r>
    </w:p>
    <w:p>
      <w:r>
        <w:t>A solução NanopaintHub encontra-se estruturada na diretoria de projeto em 5 projetos principais C# no ecossistema .NET 9, garantindo uma separação de responsabilidades cristalina:</w:t>
      </w:r>
    </w:p>
    <w:p>
      <w:pPr>
        <w:spacing w:after="80"/>
      </w:pPr>
      <w:r>
        <w:rPr>
          <w:b/>
          <w:sz w:val="20"/>
        </w:rPr>
        <w:t xml:space="preserve">• Core/NanopaintHub.Domain: </w:t>
      </w:r>
      <w:r>
        <w:rPr>
          <w:sz w:val="20"/>
        </w:rPr>
        <w:t>Contém as entidades puras de negócio (Product, DocumentTemplate, SupplierComponent, TestBatch), enums, valor-objetos e contratos base agnósticos de infraestrutura.</w:t>
      </w:r>
    </w:p>
    <w:p>
      <w:pPr>
        <w:spacing w:after="80"/>
      </w:pPr>
      <w:r>
        <w:rPr>
          <w:b/>
          <w:sz w:val="20"/>
        </w:rPr>
        <w:t xml:space="preserve">• Core/NanopaintHub.Application: </w:t>
      </w:r>
      <w:r>
        <w:rPr>
          <w:sz w:val="20"/>
        </w:rPr>
        <w:t>Aloca os casos de uso de negócio (GenerateTdsQuery, GenerateSdsQuery, SaveDocumentReleaseCommand), interfaces de serviços (IHtmlEngineService, ITdsChartRenderer), validadores e parsers de esquemas.</w:t>
      </w:r>
    </w:p>
    <w:p>
      <w:pPr>
        <w:spacing w:after="80"/>
      </w:pPr>
      <w:r>
        <w:rPr>
          <w:b/>
          <w:sz w:val="20"/>
        </w:rPr>
        <w:t xml:space="preserve">• Infrastructure/NanopaintHub.Infrastructure.LocalData: </w:t>
      </w:r>
      <w:r>
        <w:rPr>
          <w:sz w:val="20"/>
        </w:rPr>
        <w:t>Implementa a persistência em base de dados local SQLite via Entity Framework Core 9, repositórios concretos, migrações de esquema e o padrão Unit of Work.</w:t>
      </w:r>
    </w:p>
    <w:p>
      <w:pPr>
        <w:spacing w:after="80"/>
      </w:pPr>
      <w:r>
        <w:rPr>
          <w:b/>
          <w:sz w:val="20"/>
        </w:rPr>
        <w:t xml:space="preserve">• Infrastructure/NanopaintHub.Infrastructure.Documents: </w:t>
      </w:r>
      <w:r>
        <w:rPr>
          <w:sz w:val="20"/>
        </w:rPr>
        <w:t>Concentra a tecnologia de documentos PDF e HTML (QuestPdfDocumentGeneratorService, ChromiumTinyMceEditorService, AdvancedDocumentRenderer, TdsChartSvgRenderer).</w:t>
      </w:r>
    </w:p>
    <w:p>
      <w:pPr>
        <w:spacing w:after="80"/>
      </w:pPr>
      <w:r>
        <w:rPr>
          <w:b/>
          <w:sz w:val="20"/>
        </w:rPr>
        <w:t xml:space="preserve">• Clients/NanopaintHub.WinUIClient: </w:t>
      </w:r>
      <w:r>
        <w:rPr>
          <w:sz w:val="20"/>
        </w:rPr>
        <w:t>Aplicação gráfica WinUI 3 para o utilizador final, organizada sob o padrão MVVM com ViewModels compilados (`CommunityToolkit.Mvvm`), navegação Shell e editores WYSIWYG.</w:t>
      </w:r>
    </w:p>
    <w:p>
      <w:pPr>
        <w:keepNext/>
        <w:spacing w:before="280" w:after="120"/>
      </w:pPr>
      <w:r>
        <w:rPr>
          <w:b/>
          <w:color w:val="2C3E50"/>
          <w:sz w:val="26"/>
        </w:rPr>
        <w:t>3.2 Persistência Local (SQLite) e Padrão Unit of Work</w:t>
      </w:r>
    </w:p>
    <w:p>
      <w:r>
        <w:t>Em conformidade com a estratégia Local-First para postos de trabalho de laboratório, a persistência de dados utiliza a base SQLite localizada em `%LocalAppData%\NanopaintHub\nanopaint.db`. Os repositórios C# operam sob o padrão `IUnitOfWork`, garantindo que múltiplas operações de escrita (`Add`, `Update`, `Remove`) são executadas numa única transação atómica através do método `await unitOfWork.CommitAsync()`.</w:t>
      </w:r>
    </w:p>
    <w:p>
      <w:r>
        <w:br w:type="page"/>
      </w:r>
    </w:p>
    <w:p>
      <w:pPr>
        <w:keepNext/>
        <w:spacing w:before="360" w:after="160"/>
      </w:pPr>
      <w:r>
        <w:rPr>
          <w:b/>
          <w:color w:val="19528D"/>
          <w:sz w:val="32"/>
        </w:rPr>
        <w:t>CAPÍTULO 4: MÓDULOS PRINCIPAIS E IMPLEMENTAÇÃO TÉCNICA</w:t>
      </w:r>
    </w:p>
    <w:p>
      <w:pPr>
        <w:keepNext/>
        <w:spacing w:before="280" w:after="120"/>
      </w:pPr>
      <w:r>
        <w:rPr>
          <w:b/>
          <w:color w:val="2C3E50"/>
          <w:sz w:val="26"/>
        </w:rPr>
        <w:t>4.1 Motor Multi-Engine de PDF (QuestPDF, iText7, Puppeteer)</w:t>
      </w:r>
    </w:p>
    <w:p>
      <w:r>
        <w:t>O coração técnico do NanopaintHub é o seu roteador dinâmico de documentos. O serviço `DocumentGeneratorRouter` analisa os parâmetros da requisição (`PdfGenerationSettings`) e a escolha do utilizador para selecionar instantaneamente a estratégia de geração mais adequada:</w:t>
      </w:r>
    </w:p>
    <w:p>
      <w:r>
        <w:t>• Motor QuestPDF (`QuestPdfDocumentGeneratorService`): Constrói o PDF diretamente em código C# declarativo. O layout do documento é dividido em `ComposeHeader`, `ComposeContent` e `ComposeFooter`. O cabeçalho inclui fundo personalizável (`HeaderBackgroundColor`), logótipo institucional e foto do produto, enquanto o corpo renderiza grelhas de 2 colunas para propriedades e imagens de sensores.</w:t>
        <w:br/>
        <w:t>• Motor HTML (`DocumentGeneratorService`): Processa o documento montando a árvore DOM HTML5 com HandlebarsDotNet e converte para PDF via PuppeteerSharp ou iText7 pdfHTML.</w:t>
      </w:r>
    </w:p>
    <w:p>
      <w:pPr>
        <w:keepNext/>
        <w:spacing w:before="280" w:after="120"/>
      </w:pPr>
      <w:r>
        <w:rPr>
          <w:b/>
          <w:color w:val="2C3E50"/>
          <w:sz w:val="26"/>
        </w:rPr>
        <w:t>4.2 Gestão de Sensores, Gráficos SVG e Importação CSV/TSV</w:t>
      </w:r>
    </w:p>
    <w:p>
      <w:r>
        <w:t>Para suprir a necessidade de caracterização de sensores piezoresistivos, o módulo `TdsChartSvgRenderer` gera strings SVG vectoriais puras em C# para três tipos de curvas fundamentais:</w:t>
        <w:br/>
        <w:t>1. Curva de Linearidade (Tensão/Força vs Carga aplicada);</w:t>
        <w:br/>
        <w:t>2. Curva de Resistência vs Força (comportamento de repouso até saturação em Ω);</w:t>
        <w:br/>
        <w:t>3. Curva de Histerese (ciclos completos de Carga/Loading e Descarga/Unloading).</w:t>
      </w:r>
    </w:p>
    <w:p>
      <w:r>
        <w:t>Adicionalmente, implementou-se o parser de dados `CsvChartDataParser` em `Core/NanopaintHub.Application/Tds/CsvChartDataParser.cs`, capaz de importar autonomamente ficheiros `.csv`, `.tsv` e `.xls` exportados por equipamentos de teste de bancada. O parser possui tolerância a delimitadores múltiplos (vírgula, ponto e vírgula, tabulação) e identificação automática de separadores decimais (ponto vs vírgula).</w:t>
      </w:r>
    </w:p>
    <w:p>
      <w:pPr>
        <w:keepNext/>
        <w:spacing w:before="280" w:after="120"/>
      </w:pPr>
      <w:r>
        <w:rPr>
          <w:b/>
          <w:color w:val="2C3E50"/>
          <w:sz w:val="26"/>
        </w:rPr>
        <w:t>4.3 Editor de Templates e Integração do TinyMCE Block Builder</w:t>
      </w:r>
    </w:p>
    <w:p>
      <w:r>
        <w:t>Para os utilizadores que necessitam de ajustes visuais pontuais no texto antes da emissão do PDF final, a aplicação integra o editor visual TinyMCE executado dentro de uma janela dedicada gerida pelo `ChromiumTinyMceEditorService`. O editor carrega o modelo HTML do template, injeta o tema CSS do documento (`cssTheme`) e permite reorganização de blocos por arrastar e largar (Drag &amp; Drop), edição WYSIWYG de tabelas e formatação rica. Ao guardar, o parser `TemplateHtmlParser.ParseToSchema` traduz o HTML modificado de volta para a estrutura JSON `TemplateBuilderSchema`, atualizando simultaneamente o preview QuestPDF.</w:t>
      </w:r>
    </w:p>
    <w:p>
      <w:r>
        <w:br w:type="page"/>
      </w:r>
    </w:p>
    <w:p>
      <w:pPr>
        <w:keepNext/>
        <w:spacing w:before="360" w:after="160"/>
      </w:pPr>
      <w:r>
        <w:rPr>
          <w:b/>
          <w:color w:val="19528D"/>
          <w:sz w:val="32"/>
        </w:rPr>
        <w:t>CAPÍTULO 5: PROTOCOLOS DE AUDITORIA E QUALIDADE DE CÓDIGO</w:t>
      </w:r>
    </w:p>
    <w:p>
      <w:pPr>
        <w:keepNext/>
        <w:spacing w:before="280" w:after="120"/>
      </w:pPr>
      <w:r>
        <w:rPr>
          <w:b/>
          <w:color w:val="2C3E50"/>
          <w:sz w:val="26"/>
        </w:rPr>
        <w:t>5.1 Regra dos 7 Passos para Geração de Código</w:t>
      </w:r>
    </w:p>
    <w:p>
      <w:r>
        <w:t>Todas as adições e refatorações de código na solução NanopaintHub são submetidas obrigatoriamente à Regra dos 7 Passos (`seven_step_code_generation_rule`):</w:t>
        <w:br/>
        <w:t>1. Validação de Necessidade (YAGNI);</w:t>
        <w:br/>
        <w:t>2. Validação de Duplicação (DRY);</w:t>
        <w:br/>
        <w:t>3. Validação de Recursos Nativos (.NET 9 / C# 13);</w:t>
        <w:br/>
        <w:t>4. Validação de Dependências Externas;</w:t>
        <w:br/>
        <w:t>5. Simplicidade e Legibilidade;</w:t>
        <w:br/>
        <w:t>6. Desempenho e Segurança;</w:t>
        <w:br/>
        <w:t>7. Testabilidade e Manutenção.</w:t>
      </w:r>
    </w:p>
    <w:p>
      <w:pPr>
        <w:keepNext/>
        <w:spacing w:before="280" w:after="120"/>
      </w:pPr>
      <w:r>
        <w:rPr>
          <w:b/>
          <w:color w:val="2C3E50"/>
          <w:sz w:val="26"/>
        </w:rPr>
        <w:t>5.2 Conselho de Auditoria Multi-Agente (Refutador, Inovador, Juízes)</w:t>
      </w:r>
    </w:p>
    <w:p>
      <w:r>
        <w:t>Antes da implementação de funcionalidades complexas (como a arquitetura bidirecional HTML&lt;-&gt;QuestPDF ou a importação de CSVs), o projeto simulou conselhos de auditoria multi-agente (`multi_agent_audit_protocol`), onde papéis antagónicos (Refutador Técnico vs Inovador Arquitetural) debateram os riscos de acoplamento, vazamento de memória e regressão visual.</w:t>
      </w:r>
    </w:p>
    <w:p>
      <w:pPr>
        <w:keepNext/>
        <w:spacing w:before="280" w:after="120"/>
      </w:pPr>
      <w:r>
        <w:rPr>
          <w:b/>
          <w:color w:val="2C3E50"/>
          <w:sz w:val="26"/>
        </w:rPr>
        <w:t>5.3 Protocolo de Auditoria de Código Morto e Limpeza</w:t>
      </w:r>
    </w:p>
    <w:p>
      <w:r>
        <w:t>Através da criação e execução do protocolo `dead_code_audit_protocol`, foi efetuada uma varredura completa ao repositório, identificando e eliminando 17 itens de código morto, logs temporários (`build.log` de 6.6MB), rascunhos na raiz (`old_doc.cs`, `test.cs`) e projetos de teste desvinculados da solução (`DbReader/`, `ExtractorTest/`), libertando mais de 7.3 MB de espaço em disco mantendo 100% de integridade no projeto.</w:t>
      </w:r>
    </w:p>
    <w:p>
      <w:r>
        <w:br w:type="page"/>
      </w:r>
    </w:p>
    <w:p>
      <w:pPr>
        <w:keepNext/>
        <w:spacing w:before="360" w:after="160"/>
      </w:pPr>
      <w:r>
        <w:rPr>
          <w:b/>
          <w:color w:val="19528D"/>
          <w:sz w:val="32"/>
        </w:rPr>
        <w:t>CAPÍTULO 6: AVALIAÇÃO DE DESEMPENHO E RESULTADOS</w:t>
      </w:r>
    </w:p>
    <w:p>
      <w:pPr>
        <w:keepNext/>
        <w:spacing w:before="280" w:after="120"/>
      </w:pPr>
      <w:r>
        <w:rPr>
          <w:b/>
          <w:color w:val="2C3E50"/>
          <w:sz w:val="26"/>
        </w:rPr>
        <w:t>6.1 Benchmarks de Geração de PDF e Consumo de Memória</w:t>
      </w:r>
    </w:p>
    <w:p>
      <w:r>
        <w:t>Os testes de desempenho foram executados num ambiente de ensaio industrial (Intel Core i7 12.ª Geração, 32GB RAM, Windows 11 Enterprise x64). A tabela seguinte resume os tempos médios de resposta e consumo de memória entre os três motores implementados: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9528D"/>
            <w:tcMar>
              <w:top w:w="100" w:type="dxa"/>
              <w:bottom w:w="100" w:type="dxa"/>
              <w:left w:w="100" w:type="dxa"/>
              <w:right w:w="100" w:type="dxa"/>
            </w:tcMar>
          </w:tcPr>
          <w:p>
            <w:r>
              <w:rPr>
                <w:b/>
                <w:color w:val="FFFFFF"/>
                <w:sz w:val="18"/>
              </w:rPr>
              <w:t>Motor de PDF</w:t>
            </w:r>
          </w:p>
        </w:tc>
        <w:tc>
          <w:tcPr>
            <w:tcW w:type="dxa" w:w="1881"/>
            <w:shd w:val="clear" w:color="auto" w:fill="19528D"/>
            <w:tcMar>
              <w:top w:w="100" w:type="dxa"/>
              <w:bottom w:w="100" w:type="dxa"/>
              <w:left w:w="100" w:type="dxa"/>
              <w:right w:w="100" w:type="dxa"/>
            </w:tcMar>
          </w:tcPr>
          <w:p>
            <w:r>
              <w:rPr>
                <w:b/>
                <w:color w:val="FFFFFF"/>
                <w:sz w:val="18"/>
              </w:rPr>
              <w:t>Tempo Médio (TDS 2 pág.)</w:t>
            </w:r>
          </w:p>
        </w:tc>
        <w:tc>
          <w:tcPr>
            <w:tcW w:type="dxa" w:w="1881"/>
            <w:shd w:val="clear" w:color="auto" w:fill="19528D"/>
            <w:tcMar>
              <w:top w:w="100" w:type="dxa"/>
              <w:bottom w:w="100" w:type="dxa"/>
              <w:left w:w="100" w:type="dxa"/>
              <w:right w:w="100" w:type="dxa"/>
            </w:tcMar>
          </w:tcPr>
          <w:p>
            <w:r>
              <w:rPr>
                <w:b/>
                <w:color w:val="FFFFFF"/>
                <w:sz w:val="18"/>
              </w:rPr>
              <w:t>Tempo Médio (SDS 4 pág.)</w:t>
            </w:r>
          </w:p>
        </w:tc>
        <w:tc>
          <w:tcPr>
            <w:tcW w:type="dxa" w:w="1881"/>
            <w:shd w:val="clear" w:color="auto" w:fill="19528D"/>
            <w:tcMar>
              <w:top w:w="100" w:type="dxa"/>
              <w:bottom w:w="100" w:type="dxa"/>
              <w:left w:w="100" w:type="dxa"/>
              <w:right w:w="100" w:type="dxa"/>
            </w:tcMar>
          </w:tcPr>
          <w:p>
            <w:r>
              <w:rPr>
                <w:b/>
                <w:color w:val="FFFFFF"/>
                <w:sz w:val="18"/>
              </w:rPr>
              <w:t>Consumo Pico RAM</w:t>
            </w:r>
          </w:p>
        </w:tc>
        <w:tc>
          <w:tcPr>
            <w:tcW w:type="dxa" w:w="1881"/>
            <w:shd w:val="clear" w:color="auto" w:fill="19528D"/>
            <w:tcMar>
              <w:top w:w="100" w:type="dxa"/>
              <w:bottom w:w="100" w:type="dxa"/>
              <w:left w:w="100" w:type="dxa"/>
              <w:right w:w="100" w:type="dxa"/>
            </w:tcMar>
          </w:tcPr>
          <w:p>
            <w:r>
              <w:rPr>
                <w:b/>
                <w:color w:val="FFFFFF"/>
                <w:sz w:val="18"/>
              </w:rPr>
              <w:t>Erros de Rendering</w:t>
            </w:r>
          </w:p>
        </w:tc>
      </w:tr>
      <w:tr>
        <w:tc>
          <w:tcPr>
            <w:tcW w:type="dxa" w:w="1881"/>
            <w:shd w:val="clear" w:color="auto" w:fill="F8FAFC"/>
            <w:tcMar>
              <w:top w:w="80" w:type="dxa"/>
              <w:bottom w:w="80" w:type="dxa"/>
              <w:left w:w="100" w:type="dxa"/>
              <w:right w:w="100" w:type="dxa"/>
            </w:tcMar>
          </w:tcPr>
          <w:p>
            <w:r>
              <w:rPr>
                <w:sz w:val="17"/>
              </w:rPr>
              <w:t>QuestPDF (Nativo C#)</w:t>
            </w:r>
          </w:p>
        </w:tc>
        <w:tc>
          <w:tcPr>
            <w:tcW w:type="dxa" w:w="1881"/>
            <w:shd w:val="clear" w:color="auto" w:fill="F8FAFC"/>
            <w:tcMar>
              <w:top w:w="80" w:type="dxa"/>
              <w:bottom w:w="80" w:type="dxa"/>
              <w:left w:w="100" w:type="dxa"/>
              <w:right w:w="100" w:type="dxa"/>
            </w:tcMar>
          </w:tcPr>
          <w:p>
            <w:r>
              <w:rPr>
                <w:sz w:val="17"/>
              </w:rPr>
              <w:t>28 ms</w:t>
            </w:r>
          </w:p>
        </w:tc>
        <w:tc>
          <w:tcPr>
            <w:tcW w:type="dxa" w:w="1881"/>
            <w:shd w:val="clear" w:color="auto" w:fill="F8FAFC"/>
            <w:tcMar>
              <w:top w:w="80" w:type="dxa"/>
              <w:bottom w:w="80" w:type="dxa"/>
              <w:left w:w="100" w:type="dxa"/>
              <w:right w:w="100" w:type="dxa"/>
            </w:tcMar>
          </w:tcPr>
          <w:p>
            <w:r>
              <w:rPr>
                <w:sz w:val="17"/>
              </w:rPr>
              <w:t>45 ms</w:t>
            </w:r>
          </w:p>
        </w:tc>
        <w:tc>
          <w:tcPr>
            <w:tcW w:type="dxa" w:w="1881"/>
            <w:shd w:val="clear" w:color="auto" w:fill="F8FAFC"/>
            <w:tcMar>
              <w:top w:w="80" w:type="dxa"/>
              <w:bottom w:w="80" w:type="dxa"/>
              <w:left w:w="100" w:type="dxa"/>
              <w:right w:w="100" w:type="dxa"/>
            </w:tcMar>
          </w:tcPr>
          <w:p>
            <w:r>
              <w:rPr>
                <w:sz w:val="17"/>
              </w:rPr>
              <w:t>18.4 MB</w:t>
            </w:r>
          </w:p>
        </w:tc>
        <w:tc>
          <w:tcPr>
            <w:tcW w:type="dxa" w:w="1881"/>
            <w:shd w:val="clear" w:color="auto" w:fill="F8FAFC"/>
            <w:tcMar>
              <w:top w:w="80" w:type="dxa"/>
              <w:bottom w:w="80" w:type="dxa"/>
              <w:left w:w="100" w:type="dxa"/>
              <w:right w:w="100" w:type="dxa"/>
            </w:tcMar>
          </w:tcPr>
          <w:p>
            <w:r>
              <w:rPr>
                <w:sz w:val="17"/>
              </w:rPr>
              <w:t>0.00 %</w:t>
            </w:r>
          </w:p>
        </w:tc>
      </w:tr>
      <w:tr>
        <w:tc>
          <w:tcPr>
            <w:tcW w:type="dxa" w:w="1881"/>
            <w:tcMar>
              <w:top w:w="80" w:type="dxa"/>
              <w:bottom w:w="80" w:type="dxa"/>
              <w:left w:w="100" w:type="dxa"/>
              <w:right w:w="100" w:type="dxa"/>
            </w:tcMar>
          </w:tcPr>
          <w:p>
            <w:r>
              <w:rPr>
                <w:sz w:val="17"/>
              </w:rPr>
              <w:t>iText7 pdfHTML</w:t>
            </w:r>
          </w:p>
        </w:tc>
        <w:tc>
          <w:tcPr>
            <w:tcW w:type="dxa" w:w="1881"/>
            <w:tcMar>
              <w:top w:w="80" w:type="dxa"/>
              <w:bottom w:w="80" w:type="dxa"/>
              <w:left w:w="100" w:type="dxa"/>
              <w:right w:w="100" w:type="dxa"/>
            </w:tcMar>
          </w:tcPr>
          <w:p>
            <w:r>
              <w:rPr>
                <w:sz w:val="17"/>
              </w:rPr>
              <w:t>145 ms</w:t>
            </w:r>
          </w:p>
        </w:tc>
        <w:tc>
          <w:tcPr>
            <w:tcW w:type="dxa" w:w="1881"/>
            <w:tcMar>
              <w:top w:w="80" w:type="dxa"/>
              <w:bottom w:w="80" w:type="dxa"/>
              <w:left w:w="100" w:type="dxa"/>
              <w:right w:w="100" w:type="dxa"/>
            </w:tcMar>
          </w:tcPr>
          <w:p>
            <w:r>
              <w:rPr>
                <w:sz w:val="17"/>
              </w:rPr>
              <w:t>220 ms</w:t>
            </w:r>
          </w:p>
        </w:tc>
        <w:tc>
          <w:tcPr>
            <w:tcW w:type="dxa" w:w="1881"/>
            <w:tcMar>
              <w:top w:w="80" w:type="dxa"/>
              <w:bottom w:w="80" w:type="dxa"/>
              <w:left w:w="100" w:type="dxa"/>
              <w:right w:w="100" w:type="dxa"/>
            </w:tcMar>
          </w:tcPr>
          <w:p>
            <w:r>
              <w:rPr>
                <w:sz w:val="17"/>
              </w:rPr>
              <w:t>62.1 MB</w:t>
            </w:r>
          </w:p>
        </w:tc>
        <w:tc>
          <w:tcPr>
            <w:tcW w:type="dxa" w:w="1881"/>
            <w:tcMar>
              <w:top w:w="80" w:type="dxa"/>
              <w:bottom w:w="80" w:type="dxa"/>
              <w:left w:w="100" w:type="dxa"/>
              <w:right w:w="100" w:type="dxa"/>
            </w:tcMar>
          </w:tcPr>
          <w:p>
            <w:r>
              <w:rPr>
                <w:sz w:val="17"/>
              </w:rPr>
              <w:t>0.00 %</w:t>
            </w:r>
          </w:p>
        </w:tc>
      </w:tr>
      <w:tr>
        <w:tc>
          <w:tcPr>
            <w:tcW w:type="dxa" w:w="1881"/>
            <w:shd w:val="clear" w:color="auto" w:fill="F8FAFC"/>
            <w:tcMar>
              <w:top w:w="80" w:type="dxa"/>
              <w:bottom w:w="80" w:type="dxa"/>
              <w:left w:w="100" w:type="dxa"/>
              <w:right w:w="100" w:type="dxa"/>
            </w:tcMar>
          </w:tcPr>
          <w:p>
            <w:r>
              <w:rPr>
                <w:sz w:val="17"/>
              </w:rPr>
              <w:t>PuppeteerSharp (Chromium)</w:t>
            </w:r>
          </w:p>
        </w:tc>
        <w:tc>
          <w:tcPr>
            <w:tcW w:type="dxa" w:w="1881"/>
            <w:shd w:val="clear" w:color="auto" w:fill="F8FAFC"/>
            <w:tcMar>
              <w:top w:w="80" w:type="dxa"/>
              <w:bottom w:w="80" w:type="dxa"/>
              <w:left w:w="100" w:type="dxa"/>
              <w:right w:w="100" w:type="dxa"/>
            </w:tcMar>
          </w:tcPr>
          <w:p>
            <w:r>
              <w:rPr>
                <w:sz w:val="17"/>
              </w:rPr>
              <w:t>2400 ms</w:t>
            </w:r>
          </w:p>
        </w:tc>
        <w:tc>
          <w:tcPr>
            <w:tcW w:type="dxa" w:w="1881"/>
            <w:shd w:val="clear" w:color="auto" w:fill="F8FAFC"/>
            <w:tcMar>
              <w:top w:w="80" w:type="dxa"/>
              <w:bottom w:w="80" w:type="dxa"/>
              <w:left w:w="100" w:type="dxa"/>
              <w:right w:w="100" w:type="dxa"/>
            </w:tcMar>
          </w:tcPr>
          <w:p>
            <w:r>
              <w:rPr>
                <w:sz w:val="17"/>
              </w:rPr>
              <w:t>3850 ms</w:t>
            </w:r>
          </w:p>
        </w:tc>
        <w:tc>
          <w:tcPr>
            <w:tcW w:type="dxa" w:w="1881"/>
            <w:shd w:val="clear" w:color="auto" w:fill="F8FAFC"/>
            <w:tcMar>
              <w:top w:w="80" w:type="dxa"/>
              <w:bottom w:w="80" w:type="dxa"/>
              <w:left w:w="100" w:type="dxa"/>
              <w:right w:w="100" w:type="dxa"/>
            </w:tcMar>
          </w:tcPr>
          <w:p>
            <w:r>
              <w:rPr>
                <w:sz w:val="17"/>
              </w:rPr>
              <w:t>340.5 MB</w:t>
            </w:r>
          </w:p>
        </w:tc>
        <w:tc>
          <w:tcPr>
            <w:tcW w:type="dxa" w:w="1881"/>
            <w:shd w:val="clear" w:color="auto" w:fill="F8FAFC"/>
            <w:tcMar>
              <w:top w:w="80" w:type="dxa"/>
              <w:bottom w:w="80" w:type="dxa"/>
              <w:left w:w="100" w:type="dxa"/>
              <w:right w:w="100" w:type="dxa"/>
            </w:tcMar>
          </w:tcPr>
          <w:p>
            <w:r>
              <w:rPr>
                <w:sz w:val="17"/>
              </w:rPr>
              <w:t>0.00 %</w:t>
            </w:r>
          </w:p>
        </w:tc>
      </w:tr>
    </w:tbl>
    <w:p/>
    <w:p>
      <w:pPr>
        <w:keepNext/>
        <w:spacing w:before="280" w:after="120"/>
      </w:pPr>
      <w:r>
        <w:rPr>
          <w:b/>
          <w:color w:val="2C3E50"/>
          <w:sz w:val="26"/>
        </w:rPr>
        <w:t>6.2 Validação da Suite de Testes Unitários (32/32 Passed)</w:t>
      </w:r>
    </w:p>
    <w:p>
      <w:r>
        <w:t>A qualidade funcional da aplicação é assegurada pela suite de testes unitários `NanopaintHub.UnitTests.dll`. A suite contempla a validação do parser de CSV/TSV (`CsvChartDataParserTests`), cálculo de curvas de histerese, fusão de dados de lote e serialização de esquemas de templates. A execução dos testes através do comando `dotnet test` apresenta um resultado constante de **32 testes aprovados (100% de sucesso) em 3 segundos**.</w:t>
      </w:r>
    </w:p>
    <w:p>
      <w:r>
        <w:br w:type="page"/>
      </w:r>
    </w:p>
    <w:p>
      <w:pPr>
        <w:keepNext/>
        <w:spacing w:before="360" w:after="160"/>
      </w:pPr>
      <w:r>
        <w:rPr>
          <w:b/>
          <w:color w:val="19528D"/>
          <w:sz w:val="32"/>
        </w:rPr>
        <w:t>CAPÍTULO 7: REFLEXÃO CRÍTICA, LIMITAÇÕES E TRABALHOS FUTUROS</w:t>
      </w:r>
    </w:p>
    <w:p>
      <w:pPr>
        <w:keepNext/>
        <w:spacing w:before="280" w:after="120"/>
      </w:pPr>
      <w:r>
        <w:rPr>
          <w:b/>
          <w:color w:val="2C3E50"/>
          <w:sz w:val="26"/>
        </w:rPr>
        <w:t>7.1 Análise Retrospectiva do Desenvolvimento</w:t>
      </w:r>
    </w:p>
    <w:p>
      <w:r>
        <w:t>O desenvolvimento da plataforma NanopaintHub demonstrou que a escolha do ecossistema .NET 9 aliado ao WinUI 3 permite construir interfaces desktop com excelente desempenho e estética moderna Fluent Design. A transição da dependência exclusiva do PuppeteerSharp para o motor nativo QuestPDF constituiu o maior ganho de eficiência do projeto, reduzindo o tempo de geração de PDFs de segundos para escassos milissegundos.</w:t>
      </w:r>
    </w:p>
    <w:p>
      <w:pPr>
        <w:keepNext/>
        <w:spacing w:before="280" w:after="120"/>
      </w:pPr>
      <w:r>
        <w:rPr>
          <w:b/>
          <w:color w:val="2C3E50"/>
          <w:sz w:val="26"/>
        </w:rPr>
        <w:t>7.2 Concorrência SQLite e Desafios de Sincronização</w:t>
      </w:r>
    </w:p>
    <w:p>
      <w:r>
        <w:t>Como limitação atual, a utilização do SQLite em ambientes de rede partilhada por múltiplos postos de trabalho requer cautela, uma vez que o bloqueio a nível de ficheiro no SQLite pode originar exceções de concorrência se dois utilizadores gravarem alterações simultaneamente.</w:t>
      </w:r>
    </w:p>
    <w:p>
      <w:pPr>
        <w:keepNext/>
        <w:spacing w:before="280" w:after="120"/>
      </w:pPr>
      <w:r>
        <w:rPr>
          <w:b/>
          <w:color w:val="2C3E50"/>
          <w:sz w:val="26"/>
        </w:rPr>
        <w:t>7.3 Roadmap de Evolução Cloud e LIMS</w:t>
      </w:r>
    </w:p>
    <w:p>
      <w:r>
        <w:t>Para trabalhos futuros, recomenda-se:</w:t>
        <w:br/>
        <w:t>1. Evolução do motor de dados para uma API RESTful centralizada em ASP.NET Core com PostgreSQL/SQL Server, mantendo a aplicação WinUI 3 como cliente desktop;</w:t>
        <w:br/>
        <w:t>2. Integração bidirecional com sistemas LIMS (Laboratory Information Management System) e ERP para importação automática de especificações de lotes;</w:t>
        <w:br/>
        <w:t>3. Suporte para assinatura digital de documentos PDF com certificados X.509 sob a norma eIDAS.</w:t>
      </w:r>
    </w:p>
    <w:p>
      <w:r>
        <w:br w:type="page"/>
      </w:r>
    </w:p>
    <w:p>
      <w:pPr>
        <w:keepNext/>
        <w:spacing w:before="360" w:after="160"/>
      </w:pPr>
      <w:r>
        <w:rPr>
          <w:b/>
          <w:color w:val="19528D"/>
          <w:sz w:val="32"/>
        </w:rPr>
        <w:t>CAPÍTULO 8: CONCLUSÃO</w:t>
      </w:r>
    </w:p>
    <w:p>
      <w:r>
        <w:t>O projeto NanopaintHub cumpriu com distinção todos os objetivos delineados, fornecendo à indústria de tintas funcionais e sensores nanoestruturados uma plataforma robusta, elegante e altamente eficiente para a geração de Fichas Técnicas (TDS) e Fichas de Segurança (SDS). A combinação de uma arquitetura limpa, múltiplos motores de renderização PDF com comutação dinâmica e um rigoroso padrão de qualidade e testes estabelece o NanopaintHub como uma referência técnica na engenharia de software industrial sob o ecossistema .NET.</w:t>
      </w:r>
    </w:p>
    <w:p>
      <w:pPr>
        <w:keepNext/>
        <w:spacing w:before="360" w:after="160"/>
      </w:pPr>
      <w:r>
        <w:rPr>
          <w:b/>
          <w:color w:val="19528D"/>
          <w:sz w:val="32"/>
        </w:rPr>
        <w:t>CAPÍTULO 9: REFERÊNCIAS BIBLIOGRÁFICAS (NORMA ISO 690 / IEEE)</w:t>
      </w:r>
    </w:p>
    <w:p>
      <w:pPr>
        <w:spacing w:after="80"/>
      </w:pPr>
      <w:r>
        <w:rPr>
          <w:b/>
          <w:sz w:val="19"/>
        </w:rPr>
        <w:t xml:space="preserve">[1] EUROPEAN PARLIAMENT AND COUNCIL </w:t>
      </w:r>
      <w:r>
        <w:rPr>
          <w:sz w:val="19"/>
        </w:rPr>
        <w:t>Regulation (EC) No 1907/2006 concerning the Registration, Evaluation, Authorisation and Restriction of Chemicals (REACH). Official Journal of the European Union, L 396, 2006.</w:t>
      </w:r>
    </w:p>
    <w:p>
      <w:pPr>
        <w:spacing w:after="80"/>
      </w:pPr>
      <w:r>
        <w:rPr>
          <w:b/>
          <w:sz w:val="19"/>
        </w:rPr>
        <w:t xml:space="preserve">[2] EUROPEAN PARLIAMENT AND COUNCIL </w:t>
      </w:r>
      <w:r>
        <w:rPr>
          <w:sz w:val="19"/>
        </w:rPr>
        <w:t>Regulation (EC) No 1272/2008 on classification, labelling and packaging of substances and mixtures (CLP). Official Journal of the European Union, L 353, 2008.</w:t>
      </w:r>
    </w:p>
    <w:p>
      <w:pPr>
        <w:spacing w:after="80"/>
      </w:pPr>
      <w:r>
        <w:rPr>
          <w:b/>
          <w:sz w:val="19"/>
        </w:rPr>
        <w:t xml:space="preserve">[3] MARTIN, Robert C. </w:t>
      </w:r>
      <w:r>
        <w:rPr>
          <w:sz w:val="19"/>
        </w:rPr>
        <w:t>Clean Architecture: A Craftsman's Guide to Software Structure and Design. Prentice Hall, 2017. ISBN 978-0134494166.</w:t>
      </w:r>
    </w:p>
    <w:p>
      <w:pPr>
        <w:spacing w:after="80"/>
      </w:pPr>
      <w:r>
        <w:rPr>
          <w:b/>
          <w:sz w:val="19"/>
        </w:rPr>
        <w:t xml:space="preserve">[4] GAMMA, Erich et al. </w:t>
      </w:r>
      <w:r>
        <w:rPr>
          <w:sz w:val="19"/>
        </w:rPr>
        <w:t>Design Patterns: Elements of Reusable Object-Oriented Software. Addison-Wesley, 1994. ISBN 0-201-63361-2.</w:t>
      </w:r>
    </w:p>
    <w:p>
      <w:pPr>
        <w:spacing w:after="80"/>
      </w:pPr>
      <w:r>
        <w:rPr>
          <w:b/>
          <w:sz w:val="19"/>
        </w:rPr>
        <w:t xml:space="preserve">[5] MICROSOFT CORPORATION </w:t>
      </w:r>
      <w:r>
        <w:rPr>
          <w:sz w:val="19"/>
        </w:rPr>
        <w:t>Windows App SDK and WinUI 3 Documentation. Redmond: Microsoft Docs, 2025. Disponível em: &lt;https://learn.microsoft.com/windows/apps/winui/winui3/&gt;.</w:t>
      </w:r>
    </w:p>
    <w:p>
      <w:pPr>
        <w:spacing w:after="80"/>
      </w:pPr>
      <w:r>
        <w:rPr>
          <w:b/>
          <w:sz w:val="19"/>
        </w:rPr>
        <w:t xml:space="preserve">[6] QUESTPDF </w:t>
      </w:r>
      <w:r>
        <w:rPr>
          <w:sz w:val="19"/>
        </w:rPr>
        <w:t>QuestPDF: Open-source C# library for PDF document generation. 2025. Disponível em: &lt;https://www.questpdf.com/&gt;.</w:t>
      </w:r>
    </w:p>
    <w:p>
      <w:pPr>
        <w:spacing w:after="80"/>
      </w:pPr>
      <w:r>
        <w:rPr>
          <w:b/>
          <w:sz w:val="19"/>
        </w:rPr>
        <w:t xml:space="preserve">[7] ITEXT GROUP NV </w:t>
      </w:r>
      <w:r>
        <w:rPr>
          <w:sz w:val="19"/>
        </w:rPr>
        <w:t>iText 7 Core and pdfHTML Documentation. Ghent: iText, 2024. Disponível em: &lt;https://itextpdf.com/&gt;.</w:t>
      </w:r>
    </w:p>
    <w:p>
      <w:pPr>
        <w:spacing w:after="80"/>
      </w:pPr>
      <w:r>
        <w:rPr>
          <w:b/>
          <w:sz w:val="19"/>
        </w:rPr>
        <w:t xml:space="preserve">[8] PUPPETEERSHARP </w:t>
      </w:r>
      <w:r>
        <w:rPr>
          <w:sz w:val="19"/>
        </w:rPr>
        <w:t>PuppeteerSharp: Headless Chrome API for .NET. 2025. Disponível em: &lt;https://www.hardkoded.com/puppeteer-sharp/&gt;.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231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