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Ecorregiones del Partido de Escobar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Representación geográfica de las ecorregiones presentes en el Partido de Escobar, elaborada a partir de la clasificación de ecorregiones de la Argentina. El conjunto de datos permite contextualizar ambientalmente el territorio y apoyar la planificación, la gestión ambiental y la toma de decisiones con enfoque ecosistémico.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Ambiente y Biodiversidad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ecorregiones, biodiversidad, ambiente, clasificación ecológica, Escobar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Fija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Estrategia Ambiental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relacionesconlacomunidad@escobar.gob.ar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Brown, A., Martínez Ortiz, U., Acerbi, M., Corcuera, J. (2006). </w:t>
      </w:r>
      <w:r w:rsidDel="00000000" w:rsidR="00000000" w:rsidRPr="00000000">
        <w:rPr>
          <w:i w:val="1"/>
          <w:iCs w:val="1"/>
          <w:rtl w:val="0"/>
        </w:rPr>
        <w:t xml:space="preserve">La Situación Ambiental Argentina</w:t>
      </w:r>
      <w:r w:rsidDel="00000000" w:rsidR="00000000" w:rsidRPr="00000000">
        <w:rPr>
          <w:rtl w:val="0"/>
        </w:rPr>
        <w:t xml:space="preserve">. Fundación Vida Silvestre Argentina. Buenos Aires, Argentina.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Las ecorregiones fueron adaptadas y recortadas al límite del Partido de Escobar a partir de la cartografía original de ecorregiones de la Argentina. Sistema de referencia espacial: EPSG:22185 – POSGAR 94 / Argentina 5.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Termómetro de sensibilidad: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highlight w:val="green"/>
          <w:rtl w:val="0"/>
        </w:rPr>
        <w:t xml:space="preserve">☐</w:t>
      </w:r>
      <w:r w:rsidDel="00000000" w:rsidR="00000000" w:rsidRPr="00000000">
        <w:rPr>
          <w:rtl w:val="0"/>
        </w:rPr>
        <w:t xml:space="preserve"> Bajo – Información pública abierta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