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Atractivos Turísticos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los principales atractivos turísticos del Partido de Escobar, incluyendo sitios de interés natural, cultural, histórico, recreativo y patrimonial. El conjunto de datos tiene como objetivo promover el turismo local, facilitar la planificación de recorridos y fortalecer la puesta en valor del patrimonio turístico del municipio.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Cultura y Turismo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turismo, atractivos turísticos, patrimonio cultural, patrimonio natural, recreación,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Variable </w:t>
      </w:r>
      <w:r w:rsidDel="00000000" w:rsidR="00000000" w:rsidRPr="00000000">
        <w:rPr>
          <w:i w:val="1"/>
          <w:iCs w:val="1"/>
          <w:rtl w:val="0"/>
        </w:rPr>
        <w:t xml:space="preserve">(según incorporación, baja o actualización de atractivos)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</w:r>
      <w:r w:rsidDel="00000000" w:rsidR="00000000" w:rsidRPr="00000000">
        <w:rPr>
          <w:rtl w:val="0"/>
        </w:rPr>
        <w:t xml:space="preserve"> Dirección General de Monitoreo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hcalicchio@escobar.gob.ar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Los atractivos turísticos se representan como entidades puntuales georreferenciadas según su ubicación principal. La clasificación de los atractivos (natural, cultural, histórico, recreativo, entre otros) responde a criterios municipales y puede variar según la evolución de la oferta turística.</w:t>
        <w:br w:type="textWrapping"/>
        <w:t xml:space="preserve">Sistema de referencia espacial: EPSG:4326 – WGS 84.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