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Gestión de Residuos Sólidos Urbanos – Recolección Diferenciada, Planta GIRSU y Puntos Verdes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Información georreferenciada del sistema de gestión de residuos sólidos urbanos del Partido de Escobar, que incluye los recorridos de la recolección diferenciada en las localidades de El Cazador, Loma Verde e Ingeniero Maschwitz, la localización de la Planta GIRSU y los puntos verdes municipales. El conjunto de datos tiene fines informativos, ambientales y de concientización ciudadana.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Infraestructura y Servicios Públicos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gestión de residuos, recolección diferenciada, GIRSU, puntos verdes, reciclaje,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A demanda </w:t>
      </w:r>
      <w:r w:rsidDel="00000000" w:rsidR="00000000" w:rsidRPr="00000000">
        <w:rPr>
          <w:i w:val="1"/>
          <w:iCs w:val="1"/>
          <w:rtl w:val="0"/>
        </w:rPr>
        <w:t xml:space="preserve">(ante cambios operativos o ampliación de recorridos)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Escobar Sostenible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Localidades de El Cazador, Loma Verde e Ingeniero Maschwitz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Sistema Municipal de Gestión de Residuos Sólidos Urbanos – Municipalidad de Escobar.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Los recorridos de recolección diferenciada se representan de forma referencial y pueden variar según condiciones operativas. La Planta GIRSU y los puntos verdes corresponden a localizaciones oficiales municipales. Sistema de referencia espacial: EPSG:22185 – POSGAR 94 / Argentina 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criterios de cuidado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