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Terminal de Ómnibus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la Terminal de Ómnibus del Partido de Escobar, representada como una entidad puntual. El conjunto de datos identifica un nodo clave del sistema de transporte público automotor y constituye un insumo para el análisis de movilidad, conectividad urbana e integración con otros modos de transporte.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Movilidad y Transporte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terminal de ómnibus, transporte público, movilidad urbana, infraestructura de transporte,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Fija </w:t>
      </w:r>
      <w:r w:rsidDel="00000000" w:rsidR="00000000" w:rsidRPr="00000000">
        <w:rPr>
          <w:i w:val="1"/>
          <w:iCs w:val="1"/>
          <w:rtl w:val="0"/>
        </w:rPr>
        <w:t xml:space="preserve">(la infraestructura presenta cambios poco frecuentes)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 terminal de ómnibus se representa como una entidad puntual correspondiente a su ubicación física principal. El conjunto de datos no incluye información operativa como recorridos, frecuencias, horarios o empresas prestatarias.</w:t>
        <w:br w:type="textWrapping"/>
        <w:t xml:space="preserve">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potencial sensibilidad, uso responsable recomendado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