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Línea de Ferrocarril del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Trazado geográfico de la línea ferroviaria que atraviesa el Partido de Escobar, representada como una entidad lineal. El conjunto de datos permite visualizar la infraestructura ferroviaria existente y constituye un insumo para el análisis de movilidad, conectividad territorial, planificación urbana y articulación con otros sistemas de transporte.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Movilidad y Transporte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ferrocarril, línea ferroviaria, transporte público, movilidad, infraestructura ferroviaria,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Fija </w:t>
      </w:r>
      <w:r w:rsidDel="00000000" w:rsidR="00000000" w:rsidRPr="00000000">
        <w:rPr>
          <w:i w:val="1"/>
          <w:iCs w:val="1"/>
          <w:rtl w:val="0"/>
        </w:rPr>
        <w:t xml:space="preserve">(la infraestructura presenta cambios poco frecuentes)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Relevamiento propio del Municipio de Escobar / Información base de organismos ferroviarios nacionales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La línea ferroviaria se representa como una entidad lineal correspondiente al trazado físico de las vías. El conjunto de datos no incluye información operativa sobre frecuencias, horarios, servicios o estado de la infraestructura.</w:t>
        <w:br w:type="textWrapping"/>
        <w:t xml:space="preserve">Sistema de referencia espacial: EPSG:22185 – POSGAR 94 / Argentina 5.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potencial sensibilidad, uso responsable recomendado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