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Vía Nacional en 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Trazado geográfico de las vías nacionales que atraviesan el Partido de Escobar, representadas como entidades lineales. El conjunto de datos permite identificar la infraestructura vial de jurisdicción nacional dentro del territorio municipal y constituye un insumo para el análisis de conectividad regional, movilidad, logística y planificación territorial.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Movilidad y Transporte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vía nacional, rutas nacionales, infraestructura vial, movilidad, conectividad,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Fija </w:t>
      </w:r>
      <w:r w:rsidDel="00000000" w:rsidR="00000000" w:rsidRPr="00000000">
        <w:rPr>
          <w:i w:val="1"/>
          <w:iCs w:val="1"/>
          <w:rtl w:val="0"/>
        </w:rPr>
        <w:t xml:space="preserve">(la infraestructura vial presenta cambios poco frecuentes)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Información base de organismos viales nacionales / 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vías nacionales se representan como entidades lineales correspondientes al trazado de las rutas de jurisdicción nacional dentro del partido. El conjunto de datos no incluye información operativa como estado de calzada, tránsito, velocidades ni concesiones.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Bajo – Información pública abierta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