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>CURSO SOLVENCIA DE LAS ASEGURADORAS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>TRABAJO PRÁCTICO PARA EVALUACIÓN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>PROBABILIDAD DE INSOLVENCIA PLURIANUAL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>Sugerencia:</w:t>
      </w:r>
      <w:r>
        <w:rPr>
          <w:rFonts w:eastAsia="Times New Roman" w:cs="Arial"/>
          <w:szCs w:val="20"/>
          <w:lang w:val="es-ES" w:eastAsia="es-ES"/>
        </w:rPr>
        <w:t xml:space="preserve"> Se sugiere seguir la secuencia de etapas propuesta. De esta manera se evitan contratiempos en la elaboración y facilita la tarea de evaluación a realizar. Muchas gracias.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1"/>
        </w:numPr>
        <w:contextualSpacing/>
        <w:jc w:val="left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>HIPÓTESIS DEL TRABAJO</w:t>
      </w:r>
      <w:bookmarkStart w:id="0" w:name="_GoBack"/>
      <w:bookmarkEnd w:id="0"/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2"/>
        </w:numPr>
        <w:contextualSpacing/>
        <w:jc w:val="left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Factor de capitalización de las inversiones a una tasa anual del 4%. Constante para todos los períodos.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1+i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=1,04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2"/>
        </w:numPr>
        <w:contextualSpacing/>
        <w:jc w:val="left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Tasa de crecimiento anual de la cartera del 18%, que se traslada al crecimiento anual del número medio de siniestros. Constante para todos los períodos.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=1,18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t-1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t-1</m:t>
              </m:r>
            </m:sup>
          </m:sSubSup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2"/>
        </w:numPr>
        <w:contextualSpacing/>
        <w:jc w:val="left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Tasa de inflación anual del 5%, que se traslada al costo medio de la cuantía de los siniestros. Constante para todos los períodos.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=1,05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t-1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sub>
            <m: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t-1</m:t>
              </m:r>
            </m:sup>
          </m:sSubSup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2,t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sub>
            <m: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t-1</m:t>
              </m:r>
            </m:sup>
          </m:sSubSup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2</m:t>
                  </m:r>
                </m:sup>
              </m:sSup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3,t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sub>
            <m: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t-1</m:t>
              </m:r>
            </m:sup>
          </m:sSubSup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3</m:t>
                  </m:r>
                </m:sup>
              </m:sSup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2"/>
        </w:numPr>
        <w:contextualSpacing/>
        <w:jc w:val="left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Recargo de seguridad de la prima pura del 8%, por lo que la prima recargada resulta.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ρ=0,08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PR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=P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1-ρ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∙1.08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2"/>
        </w:numPr>
        <w:contextualSpacing/>
        <w:jc w:val="left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Desfasaje temporal de las primas respecto de la inflación.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d=1,5 años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d</m:t>
                  </m:r>
                </m:sup>
              </m:sSubSup>
            </m:den>
          </m:f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1,5</m:t>
                  </m:r>
                </m:sup>
              </m:sSubSup>
            </m:den>
          </m:f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2"/>
        </w:numPr>
        <w:contextualSpacing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 xml:space="preserve">Relación, reservas técnicas – primas. En cualquier período </w:t>
      </w:r>
      <m:oMath>
        <m: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t</m:t>
        </m:r>
      </m:oMath>
      <w:r>
        <w:rPr>
          <w:rFonts w:eastAsia="Times New Roman" w:cs="Arial"/>
          <w:szCs w:val="20"/>
          <w:lang w:val="es-ES" w:eastAsia="es-ES"/>
        </w:rPr>
        <w:t xml:space="preserve"> las reservas técnicas son equivalentes a 1,25 veces la prima.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k=1,25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RT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=1,25∙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2"/>
        </w:numPr>
        <w:contextualSpacing/>
        <w:jc w:val="left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Margen de solvencia al inicio del período.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=900 millones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2"/>
        </w:numPr>
        <w:contextualSpacing/>
        <w:jc w:val="left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Cantidad de años del período plurianual en estudio.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n=5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1"/>
        </w:numPr>
        <w:contextualSpacing/>
        <w:jc w:val="left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>INFORMACIÓN DE LA COMPAÑÍA AL FINAL DEL PRIMER PERIODO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 xml:space="preserve">Respecto de: frecuencia siniestral esperada, cuantía individual </w:t>
      </w:r>
      <m:oMath>
        <m: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X</m:t>
        </m:r>
      </m:oMath>
      <w:r>
        <w:rPr>
          <w:rFonts w:eastAsia="Times New Roman" w:cs="Arial"/>
          <w:szCs w:val="24"/>
          <w:lang w:val="es-ES" w:eastAsia="es-ES"/>
        </w:rPr>
        <w:t xml:space="preserve"> (millones) de </w:t>
      </w:r>
      <w:r>
        <w:rPr>
          <w:rFonts w:eastAsia="Times New Roman" w:cs="Arial"/>
          <w:szCs w:val="20"/>
          <w:lang w:val="es-ES" w:eastAsia="es-ES"/>
        </w:rPr>
        <w:t xml:space="preserve">siniestros esperada, momentos naturales de </w:t>
      </w:r>
      <m:oMath>
        <m: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X</m:t>
        </m:r>
      </m:oMath>
      <w:r>
        <w:rPr>
          <w:rFonts w:eastAsia="Times New Roman" w:cs="Arial"/>
          <w:szCs w:val="20"/>
          <w:lang w:val="es-ES" w:eastAsia="es-ES"/>
        </w:rPr>
        <w:t>, y prima pura anual.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i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 xml:space="preserve">=17.500     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V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=6.300.000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i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=0,050 millones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2,1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 xml:space="preserve">=0,060     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3,1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=1,100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i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E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=875 millones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La compañía dispone al final del primer período de una prima pura de.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=800 millones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Si la prima pura sufre un desfasaje de un año y medio con una tasa de inflación del 5%, la siniestralidad media anual esperada en el primer periodo, resulta.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t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1,5</m:t>
                  </m:r>
                </m:sup>
              </m:sSubSup>
            </m:den>
          </m:f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 xml:space="preserve">    ⇒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1,5</m:t>
                  </m:r>
                </m:sup>
              </m:sSubSup>
            </m:den>
          </m:f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 xml:space="preserve">    ⇒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∙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sub>
            <m: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1,5</m:t>
              </m:r>
            </m:sup>
          </m:sSubSup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=E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1</m:t>
                  </m:r>
                </m:sub>
              </m:sSub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w:lastRenderedPageBreak/>
            <m:t>E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=800∙1,05=848,477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 xml:space="preserve">Aproximado a la resultante de </w:t>
      </w:r>
      <m:oMath>
        <m: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E</m:t>
        </m:r>
        <m:d>
          <m:d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s-ES" w:eastAsia="es-E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s-ES"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s-ES" w:eastAsia="es-E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s-ES" w:eastAsia="es-ES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s-ES"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N</m:t>
            </m:r>
          </m:e>
        </m:d>
        <m: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∙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s-ES"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X</m:t>
            </m:r>
          </m:e>
        </m:d>
        <m: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=875</m:t>
        </m:r>
      </m:oMath>
      <w:r>
        <w:rPr>
          <w:rFonts w:eastAsia="Times New Roman" w:cs="Arial"/>
          <w:szCs w:val="20"/>
          <w:lang w:val="es-ES" w:eastAsia="es-ES"/>
        </w:rPr>
        <w:t>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1"/>
        </w:numPr>
        <w:contextualSpacing/>
        <w:jc w:val="left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 xml:space="preserve">CÁLCULO DEL INDICE DE RIESGO </w:t>
      </w:r>
      <m:oMath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R</m:t>
        </m:r>
      </m:oMath>
      <w:r>
        <w:rPr>
          <w:rFonts w:eastAsia="Times New Roman" w:cs="Arial"/>
          <w:b/>
          <w:szCs w:val="20"/>
          <w:lang w:val="es-ES" w:eastAsia="es-ES"/>
        </w:rPr>
        <w:t xml:space="preserve"> Y EL PARÁMETRO </w:t>
      </w:r>
      <m:oMath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δ</m:t>
        </m:r>
      </m:oMath>
      <w:r>
        <w:rPr>
          <w:rFonts w:eastAsia="Times New Roman" w:cs="Arial"/>
          <w:b/>
          <w:szCs w:val="20"/>
          <w:lang w:val="es-ES" w:eastAsia="es-ES"/>
        </w:rPr>
        <w:t xml:space="preserve"> 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En base a información del primer período.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R=                                      δ=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1"/>
        </w:numPr>
        <w:contextualSpacing/>
        <w:jc w:val="left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 xml:space="preserve">CÁLCULO DE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es-E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t</m:t>
            </m:r>
          </m:sub>
        </m:sSub>
        <m:d>
          <m:d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es-E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N</m:t>
            </m:r>
          </m:e>
        </m:d>
      </m:oMath>
      <w:r>
        <w:rPr>
          <w:rFonts w:eastAsia="Times New Roman" w:cs="Arial"/>
          <w:b/>
          <w:szCs w:val="20"/>
          <w:lang w:val="es-ES" w:eastAsia="es-ES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es-E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t</m:t>
            </m:r>
          </m:sub>
        </m:sSub>
        <m:d>
          <m:d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es-E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X</m:t>
            </m:r>
          </m:e>
        </m:d>
      </m:oMath>
      <w:r>
        <w:rPr>
          <w:rFonts w:eastAsia="Times New Roman" w:cs="Arial"/>
          <w:b/>
          <w:szCs w:val="20"/>
          <w:lang w:val="es-ES" w:eastAsia="es-ES"/>
        </w:rPr>
        <w:t xml:space="preserve"> Y MOMENTOS DE </w:t>
      </w:r>
      <m:oMath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X</m:t>
        </m:r>
      </m:oMath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 xml:space="preserve">Se aplican las fórmulas que se basan en la información del primer período, para los diferentes valores de </w:t>
      </w:r>
      <w:r>
        <w:rPr>
          <w:rFonts w:eastAsia="Times New Roman" w:cs="Arial"/>
          <w:i/>
          <w:szCs w:val="20"/>
          <w:lang w:val="es-ES" w:eastAsia="es-ES"/>
        </w:rPr>
        <w:t>t</w:t>
      </w:r>
      <w:r>
        <w:rPr>
          <w:rFonts w:eastAsia="Times New Roman" w:cs="Arial"/>
          <w:szCs w:val="20"/>
          <w:lang w:val="es-ES" w:eastAsia="es-ES"/>
        </w:rPr>
        <w:t>, aplicando las tasas correspondientes.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N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 xml:space="preserve">=                                  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2,t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 xml:space="preserve">=               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3,t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128.25pt">
            <v:imagedata r:id="rId6" o:title=""/>
          </v:shape>
        </w:pict>
      </w:r>
      <w:r>
        <w:rPr>
          <w:rFonts w:eastAsia="Times New Roman" w:cs="Arial"/>
          <w:szCs w:val="20"/>
          <w:lang w:val="es-ES" w:eastAsia="es-ES"/>
        </w:rPr>
        <w:t xml:space="preserve">  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1"/>
        </w:numPr>
        <w:contextualSpacing/>
        <w:jc w:val="left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 xml:space="preserve">CÁLCULO DE LOS PARÁMETROS DE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es-E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t</m:t>
            </m:r>
          </m:sub>
        </m:sSub>
      </m:oMath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 xml:space="preserve">Se aplican las siguientes fórmulas para los diferentes valores de </w:t>
      </w:r>
      <w:r>
        <w:rPr>
          <w:rFonts w:eastAsia="Times New Roman" w:cs="Arial"/>
          <w:i/>
          <w:szCs w:val="20"/>
          <w:lang w:val="es-ES" w:eastAsia="es-ES"/>
        </w:rPr>
        <w:t>t</w:t>
      </w:r>
      <w:r>
        <w:rPr>
          <w:rFonts w:eastAsia="Times New Roman" w:cs="Arial"/>
          <w:szCs w:val="20"/>
          <w:lang w:val="es-ES" w:eastAsia="es-ES"/>
        </w:rPr>
        <w:t>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E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V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γ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object w:dxaOrig="4935" w:dyaOrig="2565">
          <v:shape id="_x0000_i1026" type="#_x0000_t75" style="width:246.75pt;height:128.25pt" o:ole="">
            <v:imagedata r:id="rId7" o:title=""/>
          </v:shape>
          <o:OLEObject Type="Embed" ProgID="Excel.Sheet.12" ShapeID="_x0000_i1026" DrawAspect="Content" ObjectID="_1762757332" r:id="rId8"/>
        </w:objec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1"/>
        </w:numPr>
        <w:contextualSpacing/>
        <w:jc w:val="left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 xml:space="preserve">CÁLCULO DE LOS PARÁMETROS DE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es-E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t</m:t>
            </m:r>
          </m:sub>
        </m:sSub>
      </m:oMath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E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V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object w:dxaOrig="8102" w:dyaOrig="2565">
          <v:shape id="_x0000_i1027" type="#_x0000_t75" style="width:405pt;height:128.25pt" o:ole="">
            <v:imagedata r:id="rId9" o:title=""/>
          </v:shape>
          <o:OLEObject Type="Embed" ProgID="Excel.Sheet.12" ShapeID="_x0000_i1027" DrawAspect="Content" ObjectID="_1762757333" r:id="rId10"/>
        </w:objec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object w:dxaOrig="3936" w:dyaOrig="2565">
          <v:shape id="_x0000_i1028" type="#_x0000_t75" style="width:196.5pt;height:128.25pt" o:ole="">
            <v:imagedata r:id="rId11" o:title=""/>
          </v:shape>
          <o:OLEObject Type="Embed" ProgID="Excel.Sheet.12" ShapeID="_x0000_i1028" DrawAspect="Content" ObjectID="_1762757334" r:id="rId12"/>
        </w:objec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numPr>
          <w:ilvl w:val="0"/>
          <w:numId w:val="1"/>
        </w:numPr>
        <w:contextualSpacing/>
        <w:jc w:val="left"/>
        <w:rPr>
          <w:rFonts w:eastAsia="Times New Roman" w:cs="Arial"/>
          <w:b/>
          <w:szCs w:val="20"/>
          <w:lang w:val="es-ES" w:eastAsia="es-ES"/>
        </w:rPr>
      </w:pPr>
      <w:r>
        <w:rPr>
          <w:rFonts w:eastAsia="Times New Roman" w:cs="Arial"/>
          <w:b/>
          <w:szCs w:val="20"/>
          <w:lang w:val="es-ES" w:eastAsia="es-ES"/>
        </w:rPr>
        <w:t>PROBABILIDAD DE INSOLVENCIA PLURIANUAL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0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≤0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&gt;0</m:t>
              </m:r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 w:val="28"/>
          <w:szCs w:val="28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0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 w:val="28"/>
          <w:szCs w:val="28"/>
          <w:lang w:val="es-ES" w:eastAsia="es-E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≤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val="es-ES"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val="es-ES" w:eastAsia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val="es-ES" w:eastAsia="es-ES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val="es-ES"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val="es-ES" w:eastAsia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val="es-ES" w:eastAsia="es-ES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Z≤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 xml:space="preserve"> </m:t>
                  </m:r>
                </m:sub>
              </m:sSub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>Aplicar Aproximación Normal Power.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≅</m:t>
          </m:r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t xml:space="preserve">Para luego determinar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s-ES"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F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s-ES"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s-ES" w:eastAsia="es-E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s-ES" w:eastAsia="es-ES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Arial"/>
                <w:sz w:val="28"/>
                <w:szCs w:val="28"/>
                <w:lang w:val="es-ES" w:eastAsia="es-ES"/>
              </w:rPr>
              <m:t>0</m:t>
            </m:r>
          </m:e>
        </m:d>
      </m:oMath>
      <w:r>
        <w:rPr>
          <w:rFonts w:eastAsia="Times New Roman" w:cs="Arial"/>
          <w:sz w:val="26"/>
          <w:szCs w:val="26"/>
          <w:lang w:val="es-ES" w:eastAsia="es-ES"/>
        </w:rPr>
        <w:t xml:space="preserve"> para los diferentes valores de </w:t>
      </w:r>
      <m:oMath>
        <m:r>
          <w:rPr>
            <w:rFonts w:ascii="Cambria Math" w:eastAsia="Times New Roman" w:hAnsi="Cambria Math" w:cs="Arial"/>
            <w:sz w:val="28"/>
            <w:szCs w:val="28"/>
            <w:lang w:val="es-ES" w:eastAsia="es-ES"/>
          </w:rPr>
          <m:t>t</m:t>
        </m:r>
      </m:oMath>
      <w:r>
        <w:rPr>
          <w:rFonts w:eastAsia="Times New Roman" w:cs="Arial"/>
          <w:sz w:val="26"/>
          <w:szCs w:val="26"/>
          <w:lang w:val="es-ES" w:eastAsia="es-ES"/>
        </w:rPr>
        <w:t>.</w: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 w:val="28"/>
          <w:szCs w:val="28"/>
          <w:lang w:val="es-ES"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0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≤0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≤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val="es-ES"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val="es-ES" w:eastAsia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val="es-ES" w:eastAsia="es-ES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8"/>
                              <w:szCs w:val="28"/>
                              <w:lang w:val="es-ES"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val="es-ES" w:eastAsia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8"/>
                              <w:szCs w:val="28"/>
                              <w:lang w:val="es-ES" w:eastAsia="es-ES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Z≤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 xml:space="preserve"> </m:t>
                  </m:r>
                </m:sub>
              </m:sSub>
            </m:e>
          </m:d>
        </m:oMath>
      </m:oMathPara>
    </w:p>
    <w:p>
      <w:pPr>
        <w:rPr>
          <w:rFonts w:eastAsia="Times New Roman" w:cs="Arial"/>
          <w:szCs w:val="20"/>
          <w:lang w:val="es-ES" w:eastAsia="es-ES"/>
        </w:rPr>
      </w:pPr>
    </w:p>
    <w:p>
      <w:pPr>
        <w:jc w:val="center"/>
        <w:rPr>
          <w:rFonts w:eastAsia="Times New Roman" w:cs="Arial"/>
          <w:szCs w:val="20"/>
          <w:lang w:val="es-ES" w:eastAsia="es-ES"/>
        </w:rPr>
      </w:pPr>
      <w:r>
        <w:rPr>
          <w:rFonts w:eastAsia="Times New Roman" w:cs="Arial"/>
          <w:szCs w:val="20"/>
          <w:lang w:val="es-ES" w:eastAsia="es-ES"/>
        </w:rPr>
        <w:object w:dxaOrig="6887" w:dyaOrig="2984">
          <v:shape id="_x0000_i1029" type="#_x0000_t75" style="width:344.25pt;height:149.25pt" o:ole="">
            <v:imagedata r:id="rId13" o:title=""/>
          </v:shape>
          <o:OLEObject Type="Embed" ProgID="Excel.Sheet.12" ShapeID="_x0000_i1029" DrawAspect="Content" ObjectID="_1762757335" r:id="rId14"/>
        </w:object>
      </w: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szCs w:val="20"/>
          <w:lang w:val="es-ES" w:eastAsia="es-ES"/>
        </w:rPr>
      </w:pPr>
    </w:p>
    <w:p>
      <w:pPr>
        <w:rPr>
          <w:rFonts w:eastAsia="Times New Roman" w:cs="Arial"/>
          <w:b/>
          <w:i/>
          <w:szCs w:val="20"/>
          <w:lang w:val="es-ES" w:eastAsia="es-ES"/>
        </w:rPr>
      </w:pPr>
      <m:oMathPara>
        <m:oMath>
          <m:func>
            <m:funcPr>
              <m:ctrlPr>
                <w:rPr>
                  <w:rFonts w:ascii="Cambria Math" w:eastAsia="Times New Roman" w:hAnsi="Cambria Math" w:cs="Arial"/>
                  <w:b/>
                  <w:i/>
                  <w:sz w:val="28"/>
                  <w:szCs w:val="28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Arial"/>
                      <w:b/>
                      <w:i/>
                      <w:sz w:val="28"/>
                      <w:szCs w:val="28"/>
                      <w:lang w:val="es-ES" w:eastAsia="es-ES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1≤t≤5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b/>
                      <w:i/>
                      <w:sz w:val="28"/>
                      <w:szCs w:val="28"/>
                      <w:lang w:val="es-ES" w:eastAsia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=x,xxxxx≤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5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eastAsia="Times New Roman" w:hAnsi="Cambria Math" w:cs="Arial"/>
              <w:sz w:val="28"/>
              <w:szCs w:val="28"/>
              <w:lang w:val="es-ES" w:eastAsia="es-ES"/>
            </w:rPr>
            <m:t>≤x,xxxxx=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b/>
                  <w:i/>
                  <w:sz w:val="28"/>
                  <w:szCs w:val="28"/>
                  <w:lang w:val="es-ES" w:eastAsia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t=1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  <w:lang w:val="es-ES" w:eastAsia="es-E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8"/>
                      <w:szCs w:val="28"/>
                      <w:lang w:val="es-ES" w:eastAsia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i/>
                          <w:sz w:val="28"/>
                          <w:szCs w:val="28"/>
                          <w:lang w:val="es-ES" w:eastAsia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8"/>
                          <w:szCs w:val="28"/>
                          <w:lang w:val="es-ES" w:eastAsia="es-ES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b/>
                      <w:i/>
                      <w:sz w:val="28"/>
                      <w:szCs w:val="28"/>
                      <w:lang w:val="es-ES" w:eastAsia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8"/>
                      <w:szCs w:val="28"/>
                      <w:lang w:val="es-ES" w:eastAsia="es-ES"/>
                    </w:rPr>
                    <m:t>0</m:t>
                  </m:r>
                </m:e>
              </m:d>
            </m:e>
          </m:nary>
        </m:oMath>
      </m:oMathPara>
    </w:p>
    <w:p>
      <w:pPr>
        <w:rPr>
          <w:lang w:val="es-ES"/>
        </w:rPr>
      </w:pPr>
    </w:p>
    <w:sectPr>
      <w:pgSz w:w="11907" w:h="16840" w:code="9"/>
      <w:pgMar w:top="1701" w:right="1134" w:bottom="1134" w:left="1701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AGJMN+CourierNewPSMT">
    <w:altName w:val="Courier New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84089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A94481"/>
    <w:multiLevelType w:val="hybridMultilevel"/>
    <w:tmpl w:val="7CEA90A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97310F"/>
    <w:multiLevelType w:val="hybridMultilevel"/>
    <w:tmpl w:val="62CA3E50"/>
    <w:lvl w:ilvl="0" w:tplc="C7ACA8B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0618E2"/>
    <w:multiLevelType w:val="hybridMultilevel"/>
    <w:tmpl w:val="E7AA0642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AF14CD"/>
    <w:multiLevelType w:val="hybridMultilevel"/>
    <w:tmpl w:val="7334F4C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C1683A"/>
    <w:multiLevelType w:val="hybridMultilevel"/>
    <w:tmpl w:val="0F023DC4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373DD6"/>
    <w:multiLevelType w:val="hybridMultilevel"/>
    <w:tmpl w:val="0DDCFF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A0D22"/>
    <w:multiLevelType w:val="hybridMultilevel"/>
    <w:tmpl w:val="712C2870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84061"/>
    <w:multiLevelType w:val="hybridMultilevel"/>
    <w:tmpl w:val="A71A268E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2C431A"/>
    <w:multiLevelType w:val="hybridMultilevel"/>
    <w:tmpl w:val="6B2292A8"/>
    <w:lvl w:ilvl="0" w:tplc="3CD293D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910A90"/>
    <w:multiLevelType w:val="hybridMultilevel"/>
    <w:tmpl w:val="BE50A2DC"/>
    <w:lvl w:ilvl="0" w:tplc="649C0B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274ED5"/>
    <w:multiLevelType w:val="hybridMultilevel"/>
    <w:tmpl w:val="ED58C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142D24"/>
    <w:multiLevelType w:val="hybridMultilevel"/>
    <w:tmpl w:val="1812D31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BD6F33"/>
    <w:multiLevelType w:val="hybridMultilevel"/>
    <w:tmpl w:val="9590349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BA2F8D"/>
    <w:multiLevelType w:val="hybridMultilevel"/>
    <w:tmpl w:val="D086360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6"/>
  </w:num>
  <w:num w:numId="5">
    <w:abstractNumId w:val="11"/>
  </w:num>
  <w:num w:numId="6">
    <w:abstractNumId w:val="2"/>
  </w:num>
  <w:num w:numId="7">
    <w:abstractNumId w:val="14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3"/>
  </w:num>
  <w:num w:numId="13">
    <w:abstractNumId w:val="1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Times New Roman" w:eastAsia="Times New Roman" w:hAnsi="Times New Roman" w:cs="Times New Roman"/>
      <w:b/>
      <w:bCs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Times New Roman" w:eastAsia="Times New Roman" w:hAnsi="Times New Roman" w:cs="Times New Roman"/>
      <w:b/>
      <w:sz w:val="40"/>
      <w:szCs w:val="20"/>
      <w:u w:val="single"/>
      <w:lang w:val="es-ES" w:eastAsia="es-ES"/>
    </w:rPr>
  </w:style>
  <w:style w:type="paragraph" w:styleId="Ttulo6">
    <w:name w:val="heading 6"/>
    <w:basedOn w:val="Normal"/>
    <w:next w:val="Normal"/>
    <w:link w:val="Ttulo6Car"/>
    <w:qFormat/>
    <w:pPr>
      <w:keepNext/>
      <w:jc w:val="center"/>
      <w:outlineLvl w:val="5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pPr>
      <w:spacing w:before="240" w:after="60"/>
      <w:jc w:val="left"/>
      <w:outlineLvl w:val="6"/>
    </w:pPr>
    <w:rPr>
      <w:rFonts w:ascii="Times New Roman" w:eastAsia="Times New Roman" w:hAnsi="Times New Roman" w:cs="Times New Roman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pPr>
      <w:keepNext/>
      <w:jc w:val="center"/>
      <w:outlineLvl w:val="7"/>
    </w:pPr>
    <w:rPr>
      <w:rFonts w:eastAsia="Times New Roman" w:cs="Times New Roman"/>
      <w:b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pPr>
      <w:keepNext/>
      <w:jc w:val="left"/>
      <w:outlineLvl w:val="8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Pr>
      <w:rFonts w:ascii="Times New Roman" w:eastAsia="Times New Roman" w:hAnsi="Times New Roman" w:cs="Times New Roman"/>
      <w:b/>
      <w:bCs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Pr>
      <w:rFonts w:ascii="Times New Roman" w:eastAsia="Times New Roman" w:hAnsi="Times New Roman" w:cs="Times New Roman"/>
      <w:b/>
      <w:sz w:val="40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Pr>
      <w:rFonts w:eastAsia="Times New Roman" w:cs="Times New Roman"/>
      <w:b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Pr>
      <w:rFonts w:ascii="Times New Roman" w:eastAsia="Times New Roman" w:hAnsi="Times New Roman" w:cs="Times New Roman"/>
      <w:szCs w:val="20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</w:style>
  <w:style w:type="paragraph" w:styleId="Epgrafe">
    <w:name w:val="caption"/>
    <w:basedOn w:val="Normal"/>
    <w:next w:val="Normal"/>
    <w:qFormat/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pPr>
      <w:jc w:val="center"/>
    </w:pPr>
    <w:rPr>
      <w:rFonts w:ascii="Times New Roman" w:eastAsia="Times New Roman" w:hAnsi="Times New Roman" w:cs="Times New Roman"/>
      <w:b/>
      <w:bCs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Pr>
      <w:rFonts w:ascii="Times New Roman" w:eastAsia="Times New Roman" w:hAnsi="Times New Roman" w:cs="Times New Roman"/>
      <w:b/>
      <w:bCs/>
      <w:szCs w:val="20"/>
      <w:u w:val="single"/>
      <w:lang w:val="es-ES" w:eastAsia="es-ES"/>
    </w:rPr>
  </w:style>
  <w:style w:type="paragraph" w:styleId="Textoindependiente3">
    <w:name w:val="Body Text 3"/>
    <w:basedOn w:val="Normal"/>
    <w:link w:val="Textoindependiente3Car"/>
    <w:pPr>
      <w:jc w:val="left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">
    <w:name w:val="Title"/>
    <w:basedOn w:val="Normal"/>
    <w:link w:val="TtuloCar"/>
    <w:qFormat/>
    <w:pPr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Pr>
      <w:rFonts w:ascii="Times New Roman" w:eastAsia="Times New Roman" w:hAnsi="Times New Roman" w:cs="Times New Roman"/>
      <w:b/>
      <w:bCs/>
      <w:sz w:val="28"/>
      <w:szCs w:val="24"/>
      <w:u w:val="single"/>
      <w:lang w:val="es-ES" w:eastAsia="es-E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font5">
    <w:name w:val="font5"/>
    <w:basedOn w:val="Normal"/>
    <w:pPr>
      <w:spacing w:before="100" w:beforeAutospacing="1" w:after="100" w:afterAutospacing="1"/>
      <w:jc w:val="left"/>
    </w:pPr>
    <w:rPr>
      <w:rFonts w:eastAsia="Arial Unicode MS" w:cs="Arial"/>
      <w:b/>
      <w:bCs/>
      <w:szCs w:val="24"/>
      <w:lang w:val="es-ES" w:eastAsia="es-ES"/>
    </w:rPr>
  </w:style>
  <w:style w:type="paragraph" w:customStyle="1" w:styleId="font6">
    <w:name w:val="font6"/>
    <w:basedOn w:val="Normal"/>
    <w:pP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  <w:lang w:val="es-ES" w:eastAsia="es-E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Cs w:val="24"/>
      <w:lang w:val="es-ES" w:eastAsia="es-E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  <w:lang w:val="es-ES" w:eastAsia="es-ES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xl32">
    <w:name w:val="xl3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  <w:lang w:val="es-ES" w:eastAsia="es-E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  <w:lang w:val="es-ES" w:eastAsia="es-ES"/>
    </w:rPr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character" w:customStyle="1" w:styleId="SubttuloCar">
    <w:name w:val="Subtítulo Car"/>
    <w:basedOn w:val="Fuentedeprrafopredeter"/>
    <w:link w:val="Subttulo"/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pPr>
      <w:ind w:left="2127" w:hanging="1"/>
      <w:jc w:val="left"/>
    </w:pPr>
    <w:rPr>
      <w:rFonts w:eastAsia="Times New Roman" w:cs="Times New Roman"/>
      <w:b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Pr>
      <w:rFonts w:eastAsia="Times New Roman" w:cs="Times New Roman"/>
      <w:b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semiHidden/>
    <w:pPr>
      <w:shd w:val="clear" w:color="auto" w:fill="000080"/>
      <w:jc w:val="left"/>
    </w:pPr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Pr>
      <w:rFonts w:ascii="Tahoma" w:eastAsia="Times New Roman" w:hAnsi="Tahoma" w:cs="Times New Roman"/>
      <w:sz w:val="20"/>
      <w:szCs w:val="20"/>
      <w:shd w:val="clear" w:color="auto" w:fill="000080"/>
      <w:lang w:val="es-ES" w:eastAsia="es-ES"/>
    </w:rPr>
  </w:style>
  <w:style w:type="paragraph" w:styleId="Listaconvietas">
    <w:name w:val="List Bullet"/>
    <w:basedOn w:val="Normal"/>
    <w:autoRedefine/>
    <w:pPr>
      <w:numPr>
        <w:numId w:val="3"/>
      </w:num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jc w:val="left"/>
    </w:pPr>
    <w:rPr>
      <w:rFonts w:ascii="IAGJMN+CourierNewPSMT" w:eastAsia="Times New Roman" w:hAnsi="IAGJMN+CourierNewPSMT" w:cs="IAGJMN+CourierNewPSMT"/>
      <w:color w:val="000000"/>
      <w:szCs w:val="24"/>
      <w:lang w:val="es-ES" w:eastAsia="es-ES"/>
    </w:rPr>
  </w:style>
  <w:style w:type="character" w:customStyle="1" w:styleId="estilo65">
    <w:name w:val="estilo65"/>
    <w:basedOn w:val="Fuentedeprrafopredeter"/>
  </w:style>
  <w:style w:type="character" w:customStyle="1" w:styleId="estilo67">
    <w:name w:val="estilo67"/>
    <w:basedOn w:val="Fuentedeprrafopredeter"/>
  </w:style>
  <w:style w:type="character" w:customStyle="1" w:styleId="estilo69">
    <w:name w:val="estilo69"/>
    <w:basedOn w:val="Fuentedeprrafopredeter"/>
  </w:style>
  <w:style w:type="character" w:customStyle="1" w:styleId="in-widget">
    <w:name w:val="in-widget"/>
    <w:basedOn w:val="Fuentedeprrafopredeter"/>
  </w:style>
  <w:style w:type="character" w:customStyle="1" w:styleId="in-top">
    <w:name w:val="in-top"/>
    <w:basedOn w:val="Fuentedeprrafopredeter"/>
  </w:style>
  <w:style w:type="paragraph" w:customStyle="1" w:styleId="vspace2">
    <w:name w:val="vspace2"/>
    <w:basedOn w:val="Normal"/>
    <w:pPr>
      <w:spacing w:before="319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eacep1">
    <w:name w:val="eacep1"/>
    <w:basedOn w:val="Fuentedeprrafopredeter"/>
    <w:rPr>
      <w:color w:val="00000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Times New Roman" w:eastAsia="Times New Roman" w:hAnsi="Times New Roman" w:cs="Times New Roman"/>
      <w:b/>
      <w:bCs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Times New Roman" w:eastAsia="Times New Roman" w:hAnsi="Times New Roman" w:cs="Times New Roman"/>
      <w:b/>
      <w:sz w:val="40"/>
      <w:szCs w:val="20"/>
      <w:u w:val="single"/>
      <w:lang w:val="es-ES" w:eastAsia="es-ES"/>
    </w:rPr>
  </w:style>
  <w:style w:type="paragraph" w:styleId="Ttulo6">
    <w:name w:val="heading 6"/>
    <w:basedOn w:val="Normal"/>
    <w:next w:val="Normal"/>
    <w:link w:val="Ttulo6Car"/>
    <w:qFormat/>
    <w:pPr>
      <w:keepNext/>
      <w:jc w:val="center"/>
      <w:outlineLvl w:val="5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pPr>
      <w:spacing w:before="240" w:after="60"/>
      <w:jc w:val="left"/>
      <w:outlineLvl w:val="6"/>
    </w:pPr>
    <w:rPr>
      <w:rFonts w:ascii="Times New Roman" w:eastAsia="Times New Roman" w:hAnsi="Times New Roman" w:cs="Times New Roman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pPr>
      <w:keepNext/>
      <w:jc w:val="center"/>
      <w:outlineLvl w:val="7"/>
    </w:pPr>
    <w:rPr>
      <w:rFonts w:eastAsia="Times New Roman" w:cs="Times New Roman"/>
      <w:b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pPr>
      <w:keepNext/>
      <w:jc w:val="left"/>
      <w:outlineLvl w:val="8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Pr>
      <w:rFonts w:ascii="Times New Roman" w:eastAsia="Times New Roman" w:hAnsi="Times New Roman" w:cs="Times New Roman"/>
      <w:b/>
      <w:bCs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Pr>
      <w:rFonts w:ascii="Times New Roman" w:eastAsia="Times New Roman" w:hAnsi="Times New Roman" w:cs="Times New Roman"/>
      <w:b/>
      <w:sz w:val="40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Pr>
      <w:rFonts w:eastAsia="Times New Roman" w:cs="Times New Roman"/>
      <w:b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Pr>
      <w:rFonts w:ascii="Times New Roman" w:eastAsia="Times New Roman" w:hAnsi="Times New Roman" w:cs="Times New Roman"/>
      <w:szCs w:val="20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</w:style>
  <w:style w:type="paragraph" w:styleId="Epgrafe">
    <w:name w:val="caption"/>
    <w:basedOn w:val="Normal"/>
    <w:next w:val="Normal"/>
    <w:qFormat/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pPr>
      <w:jc w:val="center"/>
    </w:pPr>
    <w:rPr>
      <w:rFonts w:ascii="Times New Roman" w:eastAsia="Times New Roman" w:hAnsi="Times New Roman" w:cs="Times New Roman"/>
      <w:b/>
      <w:bCs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Pr>
      <w:rFonts w:ascii="Times New Roman" w:eastAsia="Times New Roman" w:hAnsi="Times New Roman" w:cs="Times New Roman"/>
      <w:b/>
      <w:bCs/>
      <w:szCs w:val="20"/>
      <w:u w:val="single"/>
      <w:lang w:val="es-ES" w:eastAsia="es-ES"/>
    </w:rPr>
  </w:style>
  <w:style w:type="paragraph" w:styleId="Textoindependiente3">
    <w:name w:val="Body Text 3"/>
    <w:basedOn w:val="Normal"/>
    <w:link w:val="Textoindependiente3Car"/>
    <w:pPr>
      <w:jc w:val="left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">
    <w:name w:val="Title"/>
    <w:basedOn w:val="Normal"/>
    <w:link w:val="TtuloCar"/>
    <w:qFormat/>
    <w:pPr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Pr>
      <w:rFonts w:ascii="Times New Roman" w:eastAsia="Times New Roman" w:hAnsi="Times New Roman" w:cs="Times New Roman"/>
      <w:b/>
      <w:bCs/>
      <w:sz w:val="28"/>
      <w:szCs w:val="24"/>
      <w:u w:val="single"/>
      <w:lang w:val="es-ES" w:eastAsia="es-E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font5">
    <w:name w:val="font5"/>
    <w:basedOn w:val="Normal"/>
    <w:pPr>
      <w:spacing w:before="100" w:beforeAutospacing="1" w:after="100" w:afterAutospacing="1"/>
      <w:jc w:val="left"/>
    </w:pPr>
    <w:rPr>
      <w:rFonts w:eastAsia="Arial Unicode MS" w:cs="Arial"/>
      <w:b/>
      <w:bCs/>
      <w:szCs w:val="24"/>
      <w:lang w:val="es-ES" w:eastAsia="es-ES"/>
    </w:rPr>
  </w:style>
  <w:style w:type="paragraph" w:customStyle="1" w:styleId="font6">
    <w:name w:val="font6"/>
    <w:basedOn w:val="Normal"/>
    <w:pP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Arial"/>
      <w:szCs w:val="24"/>
      <w:lang w:val="es-ES" w:eastAsia="es-ES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  <w:lang w:val="es-ES" w:eastAsia="es-E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Cs w:val="24"/>
      <w:lang w:val="es-ES" w:eastAsia="es-E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  <w:lang w:val="es-ES" w:eastAsia="es-ES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xl32">
    <w:name w:val="xl3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  <w:lang w:val="es-ES" w:eastAsia="es-E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  <w:lang w:val="es-ES" w:eastAsia="es-ES"/>
    </w:rPr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character" w:customStyle="1" w:styleId="SubttuloCar">
    <w:name w:val="Subtítulo Car"/>
    <w:basedOn w:val="Fuentedeprrafopredeter"/>
    <w:link w:val="Subttulo"/>
    <w:rPr>
      <w:rFonts w:ascii="Times New Roman" w:eastAsia="Times New Roman" w:hAnsi="Times New Roman" w:cs="Times New Roman"/>
      <w:b/>
      <w:szCs w:val="20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pPr>
      <w:ind w:left="2127" w:hanging="1"/>
      <w:jc w:val="left"/>
    </w:pPr>
    <w:rPr>
      <w:rFonts w:eastAsia="Times New Roman" w:cs="Times New Roman"/>
      <w:b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Pr>
      <w:rFonts w:eastAsia="Times New Roman" w:cs="Times New Roman"/>
      <w:b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semiHidden/>
    <w:pPr>
      <w:shd w:val="clear" w:color="auto" w:fill="000080"/>
      <w:jc w:val="left"/>
    </w:pPr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Pr>
      <w:rFonts w:ascii="Tahoma" w:eastAsia="Times New Roman" w:hAnsi="Tahoma" w:cs="Times New Roman"/>
      <w:sz w:val="20"/>
      <w:szCs w:val="20"/>
      <w:shd w:val="clear" w:color="auto" w:fill="000080"/>
      <w:lang w:val="es-ES" w:eastAsia="es-ES"/>
    </w:rPr>
  </w:style>
  <w:style w:type="paragraph" w:styleId="Listaconvietas">
    <w:name w:val="List Bullet"/>
    <w:basedOn w:val="Normal"/>
    <w:autoRedefine/>
    <w:pPr>
      <w:numPr>
        <w:numId w:val="3"/>
      </w:num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jc w:val="left"/>
    </w:pPr>
    <w:rPr>
      <w:rFonts w:ascii="IAGJMN+CourierNewPSMT" w:eastAsia="Times New Roman" w:hAnsi="IAGJMN+CourierNewPSMT" w:cs="IAGJMN+CourierNewPSMT"/>
      <w:color w:val="000000"/>
      <w:szCs w:val="24"/>
      <w:lang w:val="es-ES" w:eastAsia="es-ES"/>
    </w:rPr>
  </w:style>
  <w:style w:type="character" w:customStyle="1" w:styleId="estilo65">
    <w:name w:val="estilo65"/>
    <w:basedOn w:val="Fuentedeprrafopredeter"/>
  </w:style>
  <w:style w:type="character" w:customStyle="1" w:styleId="estilo67">
    <w:name w:val="estilo67"/>
    <w:basedOn w:val="Fuentedeprrafopredeter"/>
  </w:style>
  <w:style w:type="character" w:customStyle="1" w:styleId="estilo69">
    <w:name w:val="estilo69"/>
    <w:basedOn w:val="Fuentedeprrafopredeter"/>
  </w:style>
  <w:style w:type="character" w:customStyle="1" w:styleId="in-widget">
    <w:name w:val="in-widget"/>
    <w:basedOn w:val="Fuentedeprrafopredeter"/>
  </w:style>
  <w:style w:type="character" w:customStyle="1" w:styleId="in-top">
    <w:name w:val="in-top"/>
    <w:basedOn w:val="Fuentedeprrafopredeter"/>
  </w:style>
  <w:style w:type="paragraph" w:customStyle="1" w:styleId="vspace2">
    <w:name w:val="vspace2"/>
    <w:basedOn w:val="Normal"/>
    <w:pPr>
      <w:spacing w:before="319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eacep1">
    <w:name w:val="eacep1"/>
    <w:basedOn w:val="Fuentedeprrafopredeter"/>
    <w:rPr>
      <w:color w:val="00000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package" Target="embeddings/Hoja_de_c_lculo_de_Microsoft_Excel3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Hoja_de_c_lculo_de_Microsoft_Excel2.xls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Hoja_de_c_lculo_de_Microsoft_Excel4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5</cp:revision>
  <dcterms:created xsi:type="dcterms:W3CDTF">2023-11-28T20:05:00Z</dcterms:created>
  <dcterms:modified xsi:type="dcterms:W3CDTF">2023-11-29T13:02:00Z</dcterms:modified>
</cp:coreProperties>
</file>