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40"/>
          <w:szCs w:val="40"/>
        </w:rPr>
        <w:t xml:space="preserve">GUÍA PRÁCTICA</w:t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color w:val="C0392B"/>
          <w:sz w:val="28"/>
          <w:szCs w:val="28"/>
        </w:rPr>
        <w:t xml:space="preserve">Comunicación TCP/IP – PLC Delta DVP12SE11R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5A5A6"/>
          <w:sz w:val="22"/>
          <w:szCs w:val="22"/>
        </w:rPr>
        <w:t xml:space="preserve">Ejercicios paso a paso con PLC físico</w:t>
      </w:r>
    </w:p>
    <w:p>
      <w:pPr>
        <w:pBdr>
          <w:bottom w:val="single" w:color="C0392B" w:sz="6" w:space="8"/>
        </w:pBdr>
        <w:spacing w:after="400"/>
      </w:pPr>
    </w:p>
    <w:p>
      <w:pPr>
        <w:pStyle w:val="Heading1"/>
      </w:pPr>
      <w:r>
        <w:t xml:space="preserve">1. Repaso: Acceso al modo programación</w:t>
      </w:r>
    </w:p>
    <w:p>
      <w:pPr>
        <w:spacing w:after="120"/>
      </w:pPr>
      <w:r>
        <w:t xml:space="preserve">El DVP12SE11R tiene tres formas de acceder al modo programación:</w:t>
      </w:r>
    </w:p>
    <w:p>
      <w:pPr>
        <w:pStyle w:val="Heading2"/>
      </w:pPr>
      <w:r>
        <w:t xml:space="preserve">1.1 Conexión USB</w:t>
      </w:r>
    </w:p>
    <w:p>
      <w:pPr>
        <w:pStyle w:val="ListParagraph"/>
        <w:numPr>
          <w:ilvl w:val="0"/>
          <w:numId w:val="2"/>
        </w:numPr>
      </w:pPr>
      <w:r>
        <w:t xml:space="preserve">Conectar cable mini-USB entre PC y puerto USB del PLC</w:t>
      </w:r>
    </w:p>
    <w:p>
      <w:pPr>
        <w:pStyle w:val="ListParagraph"/>
        <w:numPr>
          <w:ilvl w:val="0"/>
          <w:numId w:val="2"/>
        </w:numPr>
      </w:pPr>
      <w:r>
        <w:t xml:space="preserve">Abrir COMMGR → Agregar driver → Seleccionar USB</w:t>
      </w:r>
    </w:p>
    <w:p>
      <w:pPr>
        <w:pStyle w:val="ListParagraph"/>
        <w:numPr>
          <w:ilvl w:val="0"/>
          <w:numId w:val="2"/>
        </w:numPr>
      </w:pPr>
      <w:r>
        <w:t xml:space="preserve">Abrir ISPSoft → Nuevo proyecto → Seleccionar DVP-12SE</w:t>
      </w:r>
    </w:p>
    <w:p>
      <w:pPr>
        <w:pStyle w:val="ListParagraph"/>
        <w:numPr>
          <w:ilvl w:val="0"/>
          <w:numId w:val="2"/>
        </w:numPr>
      </w:pPr>
      <w:r>
        <w:t xml:space="preserve">Verificar conexión: el LED COMM del PLC debe parpadear</w:t>
      </w:r>
    </w:p>
    <w:p>
      <w:pPr>
        <w:pStyle w:val="Heading2"/>
      </w:pPr>
      <w:r>
        <w:t xml:space="preserve">1.2 Conexión Ethernet</w:t>
      </w:r>
    </w:p>
    <w:p>
      <w:pPr>
        <w:pStyle w:val="ListParagraph"/>
        <w:numPr>
          <w:ilvl w:val="0"/>
          <w:numId w:val="3"/>
        </w:numPr>
      </w:pPr>
      <w:r>
        <w:t xml:space="preserve">Conectar cable Ethernet (RJ45) entre PC y puerto Ethernet del PLC</w:t>
      </w:r>
    </w:p>
    <w:p>
      <w:pPr>
        <w:pStyle w:val="ListParagraph"/>
        <w:numPr>
          <w:ilvl w:val="0"/>
          <w:numId w:val="3"/>
        </w:numPr>
      </w:pPr>
      <w:r>
        <w:t xml:space="preserve">Configurar IP del PC en la misma subred (ej: 192.168.1.10 si PLC es 192.168.1.5)</w:t>
      </w:r>
    </w:p>
    <w:p>
      <w:pPr>
        <w:pStyle w:val="ListParagraph"/>
        <w:numPr>
          <w:ilvl w:val="0"/>
          <w:numId w:val="3"/>
        </w:numPr>
      </w:pPr>
      <w:r>
        <w:t xml:space="preserve">COMMGR → Agregar driver → Ethernet → IP: 192.168.1.5 → Puerto: 502</w:t>
      </w:r>
    </w:p>
    <w:p>
      <w:pPr>
        <w:pStyle w:val="ListParagraph"/>
        <w:numPr>
          <w:ilvl w:val="0"/>
          <w:numId w:val="3"/>
        </w:numPr>
      </w:pPr>
      <w:r>
        <w:t xml:space="preserve">ISPSoft → Conectar con driver Ethernet configurado en COMMGR</w:t>
      </w:r>
    </w:p>
    <w:p>
      <w:pPr>
        <w:spacing w:before="100" w:after="100"/>
      </w:pPr>
      <w:r>
        <w:rPr>
          <w:i/>
          <w:iCs/>
          <w:color w:val="C0392B"/>
          <w:sz w:val="20"/>
          <w:szCs w:val="20"/>
        </w:rPr>
        <w:t xml:space="preserve">Nota: El DVP-SE tiene Auto MDI/MDIX, no necesita cable cruzado.</w:t>
      </w:r>
    </w:p>
    <w:p>
      <w:pPr>
        <w:pStyle w:val="Heading2"/>
      </w:pPr>
      <w:r>
        <w:t xml:space="preserve">1.3 Configuración de IP del PLC</w:t>
      </w:r>
    </w:p>
    <w:p>
      <w:pPr>
        <w:spacing w:after="80"/>
      </w:pPr>
      <w:r>
        <w:rPr>
          <w:b/>
          <w:bCs/>
        </w:rPr>
        <w:t xml:space="preserve">Opción A – Con DCISoft:</w:t>
      </w:r>
    </w:p>
    <w:p>
      <w:pPr>
        <w:pStyle w:val="ListParagraph"/>
        <w:numPr>
          <w:ilvl w:val="0"/>
          <w:numId w:val="4"/>
        </w:numPr>
      </w:pPr>
      <w:r>
        <w:t xml:space="preserve">Abrir DCISoft → Tools → Communication Setting</w:t>
      </w:r>
    </w:p>
    <w:p>
      <w:pPr>
        <w:pStyle w:val="ListParagraph"/>
        <w:numPr>
          <w:ilvl w:val="0"/>
          <w:numId w:val="4"/>
        </w:numPr>
      </w:pPr>
      <w:r>
        <w:t xml:space="preserve">Seleccionar Ethernet → Click en "Auto Search"</w:t>
      </w:r>
    </w:p>
    <w:p>
      <w:pPr>
        <w:pStyle w:val="ListParagraph"/>
        <w:numPr>
          <w:ilvl w:val="0"/>
          <w:numId w:val="4"/>
        </w:numPr>
      </w:pPr>
      <w:r>
        <w:t xml:space="preserve">Doble clic sobre el PLC encontrado → Modificar IP, máscara, gateway</w:t>
      </w:r>
    </w:p>
    <w:p>
      <w:pPr>
        <w:pStyle w:val="ListParagraph"/>
        <w:numPr>
          <w:ilvl w:val="0"/>
          <w:numId w:val="4"/>
        </w:numPr>
      </w:pPr>
      <w:r>
        <w:t xml:space="preserve">Click "Apply" para guardar</w:t>
      </w:r>
    </w:p>
    <w:p>
      <w:pPr>
        <w:spacing w:before="80"/>
      </w:pPr>
    </w:p>
    <w:p>
      <w:pPr>
        <w:spacing w:after="80"/>
      </w:pPr>
      <w:r>
        <w:rPr>
          <w:b/>
          <w:bCs/>
        </w:rPr>
        <w:t xml:space="preserve">Opción B – Desde programa Ladder:</w:t>
      </w:r>
    </w:p>
    <w:p>
      <w:pPr>
        <w:spacing w:after="40"/>
      </w:pPr>
      <w:r>
        <w:t xml:space="preserve">Usar la instrucción TO para escribir en los registros de control (CR):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TO  K88  H C0A80005  K1    // IP: 192.168.0.5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TO  K90  H FFFFFF00  K1    // Máscara: 255.255.255.0</w:t>
      </w:r>
    </w:p>
    <w:p>
      <w:pPr>
        <w:spacing w:before="100" w:after="100"/>
      </w:pPr>
      <w:r>
        <w:rPr>
          <w:i/>
          <w:iCs/>
          <w:color w:val="C0392B"/>
          <w:sz w:val="20"/>
          <w:szCs w:val="20"/>
        </w:rPr>
        <w:t xml:space="preserve">Nota: IP por defecto de fábrica: 192.168.1.5 / Máscara: 255.255.255.0</w:t>
      </w:r>
    </w:p>
    <w:p>
      <w:r>
        <w:br w:type="page"/>
      </w:r>
    </w:p>
    <w:p>
      <w:pPr>
        <w:pStyle w:val="Heading1"/>
      </w:pPr>
      <w:r>
        <w:t xml:space="preserve">2. Modbus TCP – PLC como servidor</w:t>
      </w:r>
    </w:p>
    <w:p>
      <w:pPr>
        <w:spacing w:after="120"/>
      </w:pPr>
      <w:r>
        <w:t xml:space="preserve">El DVP12SE funciona como servidor Modbus TCP de forma nativa por el puerto Ethernet. Cualquier cliente Modbus puede leer/escribir registros del PLC.</w:t>
      </w:r>
    </w:p>
    <w:p>
      <w:pPr>
        <w:pStyle w:val="Heading2"/>
      </w:pPr>
      <w:r>
        <w:t xml:space="preserve">2.1 Conceptos clave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Puerto TCP: </w:t>
      </w:r>
      <w:r>
        <w:t xml:space="preserve">502 (estándar Modbus)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Funciones soportadas: </w:t>
      </w:r>
      <w:r>
        <w:t xml:space="preserve">H03 (leer registros), H06 (escribir registro), H10 (escribir múltiples)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Conexiones simultáneas: </w:t>
      </w:r>
      <w:r>
        <w:t xml:space="preserve">Hasta 16 clientes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Mapeo: </w:t>
      </w:r>
      <w:r>
        <w:t xml:space="preserve">D0 = Modbus 40001, D1 = 40002, etc.</w:t>
      </w:r>
    </w:p>
    <w:p>
      <w:pPr>
        <w:pStyle w:val="Heading2"/>
      </w:pPr>
      <w:r>
        <w:t xml:space="preserve">2.2 Mapeo de registros PLC → Modbus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Dispositivo PLC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Dirección Modbus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D0-D4999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40001-45000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H03/H06/H10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16-bit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M0-M4095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00001-04096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H01/H05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Coil (bit)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Y0-Y377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00501-00756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H01/H05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Salida digital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X0-X377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10001-10256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Entrada digital</w:t>
            </w:r>
          </w:p>
        </w:tc>
      </w:tr>
    </w:tbl>
    <w:p>
      <w:pPr>
        <w:pStyle w:val="Heading3"/>
      </w:pPr>
      <w:r>
        <w:t xml:space="preserve">Ejercicio 1: Lectura de sensores por Modbus TCP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Configurar el PLC como servidor y leer datos desde un cliente Modbus.</w:t>
      </w:r>
    </w:p>
    <w:p>
      <w:pPr>
        <w:spacing w:before="80"/>
      </w:pPr>
    </w:p>
    <w:p>
      <w:r>
        <w:rPr>
          <w:b/>
          <w:bCs/>
        </w:rPr>
        <w:t xml:space="preserve">Programa Ladder (en ISPSoft):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Cargar valores de prueba en D0-D4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K100  D0    // Temperatura = 100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K250  D1    // Presión = 250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K75   D2    // Humedad = 75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    D3    // Estado = 1 (OK)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K500  D4    // Caudal = 500</w:t>
      </w:r>
    </w:p>
    <w:p>
      <w:pPr>
        <w:spacing w:before="80"/>
      </w:pPr>
    </w:p>
    <w:p>
      <w:r>
        <w:rPr>
          <w:b/>
          <w:bCs/>
        </w:rPr>
        <w:t xml:space="preserve">Pasos en el cliente (ModbusClientX o Hercules):</w:t>
      </w:r>
    </w:p>
    <w:p>
      <w:pPr>
        <w:pStyle w:val="ListParagraph"/>
        <w:numPr>
          <w:ilvl w:val="0"/>
          <w:numId w:val="6"/>
        </w:numPr>
      </w:pPr>
      <w:r>
        <w:t xml:space="preserve">Conectar a la IP del PLC, puerto 502</w:t>
      </w:r>
    </w:p>
    <w:p>
      <w:pPr>
        <w:pStyle w:val="ListParagraph"/>
        <w:numPr>
          <w:ilvl w:val="0"/>
          <w:numId w:val="6"/>
        </w:numPr>
      </w:pPr>
      <w:r>
        <w:t xml:space="preserve">Función: Read Holding Registers (FC03)</w:t>
      </w:r>
    </w:p>
    <w:p>
      <w:pPr>
        <w:pStyle w:val="ListParagraph"/>
        <w:numPr>
          <w:ilvl w:val="0"/>
          <w:numId w:val="6"/>
        </w:numPr>
      </w:pPr>
      <w:r>
        <w:t xml:space="preserve">Dirección inicial: 0 (equivale a D0 / Modbus 40001)</w:t>
      </w:r>
    </w:p>
    <w:p>
      <w:pPr>
        <w:pStyle w:val="ListParagraph"/>
        <w:numPr>
          <w:ilvl w:val="0"/>
          <w:numId w:val="6"/>
        </w:numPr>
      </w:pPr>
      <w:r>
        <w:t xml:space="preserve">Cantidad: 5 registros</w:t>
      </w:r>
    </w:p>
    <w:p>
      <w:pPr>
        <w:pStyle w:val="ListParagraph"/>
        <w:numPr>
          <w:ilvl w:val="0"/>
          <w:numId w:val="6"/>
        </w:numPr>
      </w:pPr>
      <w:r>
        <w:t xml:space="preserve">Verificar que los valores leídos sean: 100, 250, 75, 1, 500</w:t>
      </w:r>
    </w:p>
    <w:p>
      <w:pPr>
        <w:spacing w:before="80"/>
      </w:pPr>
    </w:p>
    <w:p>
      <w:r>
        <w:rPr>
          <w:b/>
          <w:bCs/>
        </w:rPr>
        <w:t xml:space="preserve">Resultado esperado: </w:t>
      </w:r>
      <w:r>
        <w:t xml:space="preserve">Los valores cargados en D0-D4 aparecen correctamente en el cliente Modbus.</w:t>
      </w:r>
    </w:p>
    <w:p>
      <w:pPr>
        <w:spacing w:before="100" w:after="100"/>
      </w:pPr>
      <w:r>
        <w:rPr>
          <w:i/>
          <w:iCs/>
          <w:color w:val="C0392B"/>
          <w:sz w:val="20"/>
          <w:szCs w:val="20"/>
        </w:rPr>
        <w:t xml:space="preserve">Nota: Si la conexión falla, verificar que PC y PLC estén en la misma subred y que no haya firewall bloqueando el puerto 502.</w:t>
      </w:r>
    </w:p>
    <w:p>
      <w:pPr>
        <w:pStyle w:val="Heading2"/>
      </w:pPr>
      <w:r>
        <w:t xml:space="preserve">2.3 Data Exchange con DCISoft (PLC a PLC)</w:t>
      </w:r>
    </w:p>
    <w:p>
      <w:pPr>
        <w:spacing w:after="100"/>
      </w:pPr>
      <w:r>
        <w:t xml:space="preserve">Para intercambio de datos automático entre PLCs, se usa DCISoft:</w:t>
      </w:r>
    </w:p>
    <w:p>
      <w:pPr>
        <w:pStyle w:val="ListParagraph"/>
        <w:numPr>
          <w:ilvl w:val="0"/>
          <w:numId w:val="7"/>
        </w:numPr>
      </w:pPr>
      <w:r>
        <w:t xml:space="preserve">Abrir DCISoft → Conectar al PLC Master por Ethernet</w:t>
      </w:r>
    </w:p>
    <w:p>
      <w:pPr>
        <w:pStyle w:val="ListParagraph"/>
        <w:numPr>
          <w:ilvl w:val="0"/>
          <w:numId w:val="7"/>
        </w:numPr>
      </w:pPr>
      <w:r>
        <w:t xml:space="preserve">Ir a Data Exchange → Habilitar (Always Enable)</w:t>
      </w:r>
    </w:p>
    <w:p>
      <w:pPr>
        <w:pStyle w:val="ListParagraph"/>
        <w:numPr>
          <w:ilvl w:val="0"/>
          <w:numId w:val="7"/>
        </w:numPr>
      </w:pPr>
      <w:r>
        <w:t xml:space="preserve">Cargar Slave ID e IP de cada PLC esclavo</w:t>
      </w:r>
    </w:p>
    <w:p>
      <w:pPr>
        <w:pStyle w:val="ListParagraph"/>
        <w:numPr>
          <w:ilvl w:val="0"/>
          <w:numId w:val="7"/>
        </w:numPr>
      </w:pPr>
      <w:r>
        <w:t xml:space="preserve">Definir registros: Lectura (←) = datos que el Master lee del Slave</w:t>
      </w:r>
    </w:p>
    <w:p>
      <w:pPr>
        <w:pStyle w:val="ListParagraph"/>
        <w:numPr>
          <w:ilvl w:val="0"/>
          <w:numId w:val="7"/>
        </w:numPr>
      </w:pPr>
      <w:r>
        <w:t xml:space="preserve">Definir registros: Escritura (→) = datos que el Master envía al Slave</w:t>
      </w:r>
    </w:p>
    <w:p>
      <w:pPr>
        <w:pStyle w:val="ListParagraph"/>
        <w:numPr>
          <w:ilvl w:val="0"/>
          <w:numId w:val="7"/>
        </w:numPr>
      </w:pPr>
      <w:r>
        <w:t xml:space="preserve">Máximo: 100 registros de lectura + 100 de escritura por esclavo</w:t>
      </w:r>
    </w:p>
    <w:p>
      <w:pPr>
        <w:pStyle w:val="ListParagraph"/>
        <w:numPr>
          <w:ilvl w:val="0"/>
          <w:numId w:val="7"/>
        </w:numPr>
      </w:pPr>
      <w:r>
        <w:t xml:space="preserve">Click Apply → Descargar al PLC</w:t>
      </w:r>
    </w:p>
    <w:p>
      <w:pPr>
        <w:spacing w:before="100" w:after="100"/>
      </w:pPr>
      <w:r>
        <w:rPr>
          <w:i/>
          <w:iCs/>
          <w:color w:val="C0392B"/>
          <w:sz w:val="20"/>
          <w:szCs w:val="20"/>
        </w:rPr>
        <w:t xml:space="preserve">Nota: Para dispositivos no-Delta, usar direcciones Modbus hexadecimales de 4 dígitos en lugar de nombres de registros.</w:t>
      </w:r>
    </w:p>
    <w:p>
      <w:r>
        <w:br w:type="page"/>
      </w:r>
    </w:p>
    <w:p>
      <w:pPr>
        <w:pStyle w:val="Heading1"/>
      </w:pPr>
      <w:r>
        <w:t xml:space="preserve">3. Socket TCP – SOCKSND / SOCKRCV</w:t>
      </w:r>
    </w:p>
    <w:p>
      <w:pPr>
        <w:spacing w:after="120"/>
      </w:pPr>
      <w:r>
        <w:t xml:space="preserve">Los sockets TCP permiten enviar y recibir datos en formato libre, sin las restricciones del protocolo Modbus. Son ideales para comunicación con aplicaciones custom.</w:t>
      </w:r>
    </w:p>
    <w:p>
      <w:pPr>
        <w:pStyle w:val="Heading2"/>
      </w:pPr>
      <w:r>
        <w:t xml:space="preserve">3.1 Instrucción SOCKSND (Enviar)</w:t>
      </w:r>
    </w:p>
    <w:p>
      <w:pPr>
        <w:spacing w:after="80"/>
      </w:pPr>
      <w:r>
        <w:t xml:space="preserve">Envía datos desde registros D del PLC a un dispositivo remoto vía TCP.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S1 (IP destino)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registros D consecutivos con la IP destino (ej: D200-D203 = 192.168.1.100)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S2 (Puerto)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Puerto TCP destino (ej: K10000)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S3 (Datos)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inicial de datos a enviar (ej: D100)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S4 (Cantidad)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de registros a enviar (ej: K10 = 10 registros)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S5 (Timeout)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de estado y timeout de la comunicación</w:t>
            </w:r>
          </w:p>
        </w:tc>
      </w:tr>
    </w:tbl>
    <w:p>
      <w:pPr>
        <w:pStyle w:val="Heading2"/>
      </w:pPr>
      <w:r>
        <w:t xml:space="preserve">3.2 Instrucción SOCKRCV (Recibir)</w:t>
      </w:r>
    </w:p>
    <w:p>
      <w:pPr>
        <w:spacing w:after="100"/>
      </w:pPr>
      <w:r>
        <w:t xml:space="preserve">Recibe datos desde un dispositivo remoto y los almacena en registros D del PLC. Misma estructura de parámetros que SOCKSND pero en sentido inverso.</w:t>
      </w:r>
    </w:p>
    <w:p>
      <w:pPr>
        <w:pStyle w:val="Heading3"/>
      </w:pPr>
      <w:r>
        <w:t xml:space="preserve">Ejercicio 2: Envío de datos por Socket TCP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Enviar valores simulados de sensores desde el PLC a una aplicación en PC.</w:t>
      </w:r>
    </w:p>
    <w:p>
      <w:pPr>
        <w:spacing w:before="80"/>
      </w:pPr>
    </w:p>
    <w:p>
      <w:r>
        <w:rPr>
          <w:b/>
          <w:bCs/>
        </w:rPr>
        <w:t xml:space="preserve">Preparación en PC:</w:t>
      </w:r>
    </w:p>
    <w:p>
      <w:pPr>
        <w:pStyle w:val="ListParagraph"/>
        <w:numPr>
          <w:ilvl w:val="0"/>
          <w:numId w:val="5"/>
        </w:numPr>
      </w:pPr>
      <w:r>
        <w:t xml:space="preserve">Descargar e instalar Hercules (HW-group) o Packet Sender</w:t>
      </w:r>
    </w:p>
    <w:p>
      <w:pPr>
        <w:pStyle w:val="ListParagraph"/>
        <w:numPr>
          <w:ilvl w:val="0"/>
          <w:numId w:val="5"/>
        </w:numPr>
      </w:pPr>
      <w:r>
        <w:t xml:space="preserve">Abrir como TCP Server, escuchando en puerto 10000</w:t>
      </w:r>
    </w:p>
    <w:p>
      <w:pPr>
        <w:pStyle w:val="ListParagraph"/>
        <w:numPr>
          <w:ilvl w:val="0"/>
          <w:numId w:val="5"/>
        </w:numPr>
      </w:pPr>
      <w:r>
        <w:t xml:space="preserve">Alternativamente, usar script Python con socket.listen()</w:t>
      </w:r>
    </w:p>
    <w:p>
      <w:pPr>
        <w:spacing w:before="80"/>
      </w:pPr>
    </w:p>
    <w:p>
      <w:r>
        <w:rPr>
          <w:b/>
          <w:bCs/>
        </w:rPr>
        <w:t xml:space="preserve">Programa Ladder: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Configurar IP destino en D200-D203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K192  D200   // Primer octeto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K168  D201   // Segundo octeto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K0    D202   // Tercer octeto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K10   D203   // Cuarto octeto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Cargar datos de sensores simulados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K350  D100   // Presión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K220  D101   // Temperatura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M1002  MOV  K1    D102   // Estado válvula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Enviar cada 5 segundos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T0   TMR  T0  K50       // Timer 5 seg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T0   SOCKSND  D200  K10000  D100  K3  D300</w:t>
      </w:r>
    </w:p>
    <w:p>
      <w:pPr>
        <w:spacing w:before="80"/>
      </w:pPr>
    </w:p>
    <w:p>
      <w:r>
        <w:rPr>
          <w:b/>
          <w:bCs/>
        </w:rPr>
        <w:t xml:space="preserve">Verificación: </w:t>
      </w:r>
      <w:r>
        <w:t xml:space="preserve">Los valores 350, 220, 1 deben aparecer en el listener TCP del PC cada 5 segundos.</w:t>
      </w:r>
    </w:p>
    <w:p>
      <w:r>
        <w:br w:type="page"/>
      </w:r>
    </w:p>
    <w:p>
      <w:pPr>
        <w:pStyle w:val="Heading1"/>
      </w:pPr>
      <w:r>
        <w:t xml:space="preserve">4. Webserver embebido del PLC</w:t>
      </w:r>
    </w:p>
    <w:p>
      <w:pPr>
        <w:spacing w:after="120"/>
      </w:pPr>
      <w:r>
        <w:t xml:space="preserve">El DVP12SE incluye un webserver integrado que permite monitorear el PLC desde cualquier navegador, sin necesidad de instalar software.</w:t>
      </w:r>
    </w:p>
    <w:p>
      <w:pPr>
        <w:pStyle w:val="Heading2"/>
      </w:pPr>
      <w:r>
        <w:t xml:space="preserve">4.1 Acceso al webserver</w:t>
      </w:r>
    </w:p>
    <w:p>
      <w:pPr>
        <w:spacing w:after="80"/>
      </w:pPr>
      <w:r>
        <w:rPr>
          <w:b/>
          <w:bCs/>
        </w:rPr>
        <w:t xml:space="preserve">Requisitos: </w:t>
      </w:r>
      <w:r>
        <w:t xml:space="preserve">PC y PLC en la misma red, navegador web actualizado.</w:t>
      </w:r>
    </w:p>
    <w:p>
      <w:pPr>
        <w:spacing w:before="80"/>
      </w:pPr>
    </w:p>
    <w:p>
      <w:r>
        <w:rPr>
          <w:b/>
          <w:bCs/>
        </w:rPr>
        <w:t xml:space="preserve">Credenciales VALBOL (PLC SENSIA):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 WiFi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ValBol_4709_5G o Valbol_4709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Clave WiFi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Valbol2024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 del PLC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192.168.0.82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 acceso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https://192.168.0.82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vMiRtu800</w:t>
            </w:r>
          </w:p>
        </w:tc>
      </w:tr>
    </w:tbl>
    <w:p>
      <w:pPr>
        <w:pStyle w:val="Heading3"/>
      </w:pPr>
      <w:r>
        <w:t xml:space="preserve">Ejercicio 3: Monitoreo vía webserver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Acceder al webserver y verificar estados en tiempo real.</w:t>
      </w:r>
    </w:p>
    <w:p>
      <w:pPr>
        <w:spacing w:before="80"/>
      </w:pP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5"/>
        </w:numPr>
      </w:pPr>
      <w:r>
        <w:t xml:space="preserve">Conectarse a la red WiFi indicada</w:t>
      </w:r>
    </w:p>
    <w:p>
      <w:pPr>
        <w:pStyle w:val="ListParagraph"/>
        <w:numPr>
          <w:ilvl w:val="0"/>
          <w:numId w:val="5"/>
        </w:numPr>
      </w:pPr>
      <w:r>
        <w:t xml:space="preserve">Abrir navegador → https://192.168.0.82</w:t>
      </w:r>
    </w:p>
    <w:p>
      <w:pPr>
        <w:pStyle w:val="ListParagraph"/>
        <w:numPr>
          <w:ilvl w:val="0"/>
          <w:numId w:val="5"/>
        </w:numPr>
      </w:pPr>
      <w:r>
        <w:t xml:space="preserve">Login con credenciales</w:t>
      </w:r>
    </w:p>
    <w:p>
      <w:pPr>
        <w:pStyle w:val="ListParagraph"/>
        <w:numPr>
          <w:ilvl w:val="0"/>
          <w:numId w:val="5"/>
        </w:numPr>
      </w:pPr>
      <w:r>
        <w:t xml:space="preserve">Navegar secciones de monitoreo (I/O, registros D, estados M)</w:t>
      </w:r>
    </w:p>
    <w:p>
      <w:pPr>
        <w:pStyle w:val="ListParagraph"/>
        <w:numPr>
          <w:ilvl w:val="0"/>
          <w:numId w:val="5"/>
        </w:numPr>
      </w:pPr>
      <w:r>
        <w:t xml:space="preserve">Activar/desactivar entradas físicas y observar cambios en la web</w:t>
      </w:r>
    </w:p>
    <w:p>
      <w:pPr>
        <w:pStyle w:val="ListParagraph"/>
        <w:numPr>
          <w:ilvl w:val="0"/>
          <w:numId w:val="5"/>
        </w:numPr>
      </w:pPr>
      <w:r>
        <w:t xml:space="preserve">Comparar valores con Monitor Mode de ISPSoft</w:t>
      </w:r>
    </w:p>
    <w:p>
      <w:pPr>
        <w:pStyle w:val="Heading2"/>
      </w:pPr>
      <w:r>
        <w:t xml:space="preserve">4.2 Integración web avanzada</w:t>
      </w:r>
    </w:p>
    <w:p>
      <w:pPr>
        <w:spacing w:after="100"/>
      </w:pPr>
      <w:r>
        <w:t xml:space="preserve">Para dashboards web personalizados, se puede usar un gateway intermedio que lea datos del PLC por Modbus TCP y los exponga como API REST. Opciones: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Node-RED: </w:t>
      </w:r>
      <w:r>
        <w:t xml:space="preserve">Flujo visual que conecta Modbus TCP con dashboards web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Python + Flask/FastAPI: </w:t>
      </w:r>
      <w:r>
        <w:t xml:space="preserve">Script que lee pymodbus y sirve datos JSON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KEPServerEX + OPC: </w:t>
      </w:r>
      <w:r>
        <w:t xml:space="preserve">Solución industrial para conectar con SCADA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Ubidots / IoT Gateway: </w:t>
      </w:r>
      <w:r>
        <w:t xml:space="preserve">Plataforma cloud para monitoreo remoto</w:t>
      </w:r>
    </w:p>
    <w:p>
      <w:r>
        <w:br w:type="page"/>
      </w:r>
    </w:p>
    <w:p>
      <w:pPr>
        <w:pStyle w:val="Heading1"/>
      </w:pPr>
      <w:r>
        <w:t xml:space="preserve">5. Email / Notificaciones vía SMTP</w:t>
      </w:r>
    </w:p>
    <w:p>
      <w:pPr>
        <w:spacing w:after="120"/>
      </w:pPr>
      <w:r>
        <w:t xml:space="preserve">Existen tres métodos para enviar notificaciones por email desde un sistema basado en DVP12SE:</w:t>
      </w:r>
    </w:p>
    <w:p>
      <w:pPr>
        <w:pStyle w:val="Heading2"/>
      </w:pPr>
      <w:r>
        <w:t xml:space="preserve">5.1 Método 1: Vía HMI DOP (DOPSoft)</w:t>
      </w:r>
    </w:p>
    <w:p>
      <w:pPr>
        <w:spacing w:after="80"/>
      </w:pPr>
      <w:r>
        <w:t xml:space="preserve">La pantalla HMI Delta (serie DOP) tiene servicio SMTP integrado.</w:t>
      </w:r>
    </w:p>
    <w:p>
      <w:pPr>
        <w:pStyle w:val="ListParagraph"/>
        <w:numPr>
          <w:ilvl w:val="0"/>
          <w:numId w:val="5"/>
        </w:numPr>
      </w:pPr>
      <w:r>
        <w:t xml:space="preserve">DOPSoft → Configuración del sistema → SMTP</w:t>
      </w:r>
    </w:p>
    <w:p>
      <w:pPr>
        <w:pStyle w:val="ListParagraph"/>
        <w:numPr>
          <w:ilvl w:val="0"/>
          <w:numId w:val="5"/>
        </w:numPr>
      </w:pPr>
      <w:r>
        <w:t xml:space="preserve">Servidor: smtp.gmail.com / Puerto: 587</w:t>
      </w:r>
    </w:p>
    <w:p>
      <w:pPr>
        <w:pStyle w:val="ListParagraph"/>
        <w:numPr>
          <w:ilvl w:val="0"/>
          <w:numId w:val="5"/>
        </w:numPr>
      </w:pPr>
      <w:r>
        <w:t xml:space="preserve">Configurar triggers basados en bits M del PLC</w:t>
      </w:r>
    </w:p>
    <w:p>
      <w:pPr>
        <w:pStyle w:val="ListParagraph"/>
        <w:numPr>
          <w:ilvl w:val="0"/>
          <w:numId w:val="5"/>
        </w:numPr>
      </w:pPr>
      <w:r>
        <w:t xml:space="preserve">Se pueden incluir valores de registros D en el cuerpo del email</w:t>
      </w:r>
    </w:p>
    <w:p>
      <w:pPr>
        <w:spacing w:before="100" w:after="100"/>
      </w:pPr>
      <w:r>
        <w:rPr>
          <w:i/>
          <w:iCs/>
          <w:color w:val="C0392B"/>
          <w:sz w:val="20"/>
          <w:szCs w:val="20"/>
        </w:rPr>
        <w:t xml:space="preserve">Nota: Gmail requiere "Contraseña de aplicación" desde la configuración de seguridad de Google, no la contraseña regular de la cuenta.</w:t>
      </w:r>
    </w:p>
    <w:p>
      <w:pPr>
        <w:pStyle w:val="Heading2"/>
      </w:pPr>
      <w:r>
        <w:t xml:space="preserve">5.2 Método 2: Vía script en PC (Python)</w:t>
      </w:r>
    </w:p>
    <w:p>
      <w:pPr>
        <w:spacing w:after="80"/>
      </w:pPr>
      <w:r>
        <w:t xml:space="preserve">Un script Python lee datos del PLC por Modbus TCP y envía emails cuando detecta condiciones de alarma.</w:t>
      </w:r>
    </w:p>
    <w:p>
      <w:pPr>
        <w:spacing w:before="80"/>
      </w:pPr>
    </w:p>
    <w:p>
      <w:r>
        <w:rPr>
          <w:b/>
          <w:bCs/>
        </w:rPr>
        <w:t xml:space="preserve">Ejemplo de script Python: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from pymodbus.client import ModbusTcpClient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import smtplib, time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client = ModbusTcpClient('192.168.0.82')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while True: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result = client.read_holding_registers(0, 5)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if result.registers[3] == 0:  # Alarma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# Enviar email con smtplib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enviar_alarma(result.registers)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time.sleep(5)</w:t>
      </w:r>
    </w:p>
    <w:p>
      <w:pPr>
        <w:pStyle w:val="Heading2"/>
      </w:pPr>
      <w:r>
        <w:t xml:space="preserve">5.3 Método 3: Vía Socket TCP directo (avanzado)</w:t>
      </w:r>
    </w:p>
    <w:p>
      <w:pPr>
        <w:spacing w:after="100"/>
      </w:pPr>
      <w:r>
        <w:t xml:space="preserve">Usando SOCKSND se pueden enviar comandos SMTP directamente desde el PLC al servidor de correo. Este método requiere formatear las tramas SMTP manualmente en los registros D y es recomendado solo para usuarios avanzados.</w:t>
      </w:r>
    </w:p>
    <w:p>
      <w:pPr>
        <w:pStyle w:val="Heading3"/>
      </w:pPr>
      <w:r>
        <w:t xml:space="preserve">Ejercicio 4: Alarma por email (con script Python)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Enviar un email cuando una condición de alarma se active en el PLC.</w:t>
      </w:r>
    </w:p>
    <w:p>
      <w:pPr>
        <w:spacing w:before="80"/>
      </w:pPr>
    </w:p>
    <w:p>
      <w:r>
        <w:rPr>
          <w:b/>
          <w:bCs/>
        </w:rPr>
        <w:t xml:space="preserve">Programa Ladder: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Simular condición de alarma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// Si presión (D0) &lt; 50 -&gt; alarma baja presión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CMP  D0  K50  M100      // M100 = alarma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M100  SET  M200         // Flag para script Python</w:t>
      </w:r>
    </w:p>
    <w:p>
      <w:pPr>
        <w:spacing w:before="80"/>
      </w:pPr>
    </w:p>
    <w:p>
      <w:r>
        <w:rPr>
          <w:b/>
          <w:bCs/>
        </w:rPr>
        <w:t xml:space="preserve">Script Python: </w:t>
      </w:r>
      <w:r>
        <w:t xml:space="preserve">Lee M200 por Modbus TCP cada 5 seg. Si M200 = ON, envía email con valor de D0 y resetea M200.</w:t>
      </w:r>
    </w:p>
    <w:p>
      <w:r>
        <w:br w:type="page"/>
      </w:r>
    </w:p>
    <w:p>
      <w:pPr>
        <w:pStyle w:val="Heading1"/>
      </w:pPr>
      <w:r>
        <w:t xml:space="preserve">6. Resumen y referencia rápida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70"/>
        <w:gridCol w:w="267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Modbus TCP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SCADA, HMI, monitoreo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Puerto 502 nativo, DCISoft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Socket TCP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Apps custom, datos libres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SOCKSND/SOCKRCV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Media-Alta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Webserver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Monitoreo rápido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Muy baja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SMTP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Alarmas, notificaciones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HMI DOP / Script Python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PLC a PLC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Sistemas distribuidos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DCISoft Data Exchange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Baja-Media</w:t>
            </w:r>
          </w:p>
        </w:tc>
      </w:tr>
    </w:tbl>
    <w:p>
      <w:pPr>
        <w:spacing w:before="80"/>
      </w:pPr>
    </w:p>
    <w:p>
      <w:pPr>
        <w:pStyle w:val="Heading2"/>
      </w:pPr>
      <w:r>
        <w:t xml:space="preserve">Software necesario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ISPSoft: </w:t>
      </w:r>
      <w:r>
        <w:t xml:space="preserve">Programación Ladder del PLC (descarga gratuita de Delta)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COMMGR: </w:t>
      </w:r>
      <w:r>
        <w:t xml:space="preserve">Gestión de drivers de comunicación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DCISoft: </w:t>
      </w:r>
      <w:r>
        <w:t xml:space="preserve">Configuración Ethernet y Data Exchange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ModbusClientX / Hercules: </w:t>
      </w:r>
      <w:r>
        <w:t xml:space="preserve">Test de comunicación TCP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Navegador web: </w:t>
      </w:r>
      <w:r>
        <w:t xml:space="preserve">Acceso al webserver embebido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Python (opcional): </w:t>
      </w:r>
      <w:r>
        <w:t xml:space="preserve">Scripts de automatización con pymodbus + smtplib</w:t>
      </w:r>
    </w:p>
    <w:p>
      <w:pPr>
        <w:spacing w:before="80"/>
      </w:pPr>
    </w:p>
    <w:p>
      <w:pPr>
        <w:pBdr>
          <w:top w:val="single" w:color="C0392B" w:sz="4" w:space="8"/>
        </w:pBdr>
        <w:spacing w:before="20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5A5A6"/>
          <w:sz w:val="20"/>
          <w:szCs w:val="20"/>
        </w:rPr>
        <w:t xml:space="preserve">VALBOL – Válvulas Worcester de Argentina S.A.</w:t>
      </w:r>
    </w:p>
    <w:p>
      <w:pPr>
        <w:jc w:val="center"/>
      </w:pPr>
      <w:r>
        <w:rPr>
          <w:rFonts w:ascii="Calibri" w:cs="Calibri" w:eastAsia="Calibri" w:hAnsi="Calibri"/>
          <w:color w:val="95A5A6"/>
          <w:sz w:val="18"/>
          <w:szCs w:val="18"/>
        </w:rPr>
        <w:t xml:space="preserve">Curso de Formación en Programación de PLC – Nivel Intermedio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5A5A6"/>
        <w:sz w:val="16"/>
        <w:szCs w:val="16"/>
      </w:rPr>
      <w:t xml:space="preserve">VALBOL – Guía Práctica TCP/IP DVP12SE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before="360" w:after="200"/>
      <w:outlineLvl w:val="0"/>
    </w:pPr>
    <w:rPr>
      <w:rFonts w:ascii="Trebuchet MS" w:cs="Trebuchet MS" w:eastAsia="Trebuchet MS" w:hAnsi="Trebuchet MS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rebuchet MS" w:cs="Trebuchet MS" w:eastAsia="Trebuchet MS" w:hAnsi="Trebuchet M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2026-02-13T11:29:28.736Z</dcterms:created>
  <dcterms:modified xsi:type="dcterms:W3CDTF">2026-02-13T11:29:28.737Z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